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87" w:rsidRPr="00BD2FEB" w:rsidRDefault="00091370" w:rsidP="00D31E87">
      <w:pPr>
        <w:spacing w:line="360" w:lineRule="auto"/>
        <w:jc w:val="both"/>
        <w:rPr>
          <w:rFonts w:ascii="Palatino Linotype" w:hAnsi="Palatino Linotype"/>
          <w:b/>
          <w:color w:val="000000" w:themeColor="text1"/>
          <w:sz w:val="24"/>
          <w:szCs w:val="24"/>
        </w:rPr>
      </w:pPr>
      <w:r w:rsidRPr="00BD2FEB">
        <w:rPr>
          <w:rFonts w:ascii="Palatino Linotype" w:hAnsi="Palatino Linotype"/>
          <w:b/>
          <w:color w:val="000000" w:themeColor="text1"/>
          <w:sz w:val="24"/>
          <w:szCs w:val="24"/>
        </w:rPr>
        <w:t xml:space="preserve">VOTO </w:t>
      </w:r>
      <w:r w:rsidR="00D31E87" w:rsidRPr="00BD2FEB">
        <w:rPr>
          <w:rFonts w:ascii="Palatino Linotype" w:hAnsi="Palatino Linotype"/>
          <w:b/>
          <w:color w:val="000000" w:themeColor="text1"/>
          <w:sz w:val="24"/>
          <w:szCs w:val="24"/>
        </w:rPr>
        <w:t xml:space="preserve">PARTICULAR DEL COMISIONADO JOSÉ GUADALUPE LUNA HERNÁNDEZ EN EL RECURSO DE REVISIÓN </w:t>
      </w:r>
      <w:r w:rsidR="00C7598C" w:rsidRPr="00BD2FEB">
        <w:rPr>
          <w:rFonts w:ascii="Palatino Linotype" w:hAnsi="Palatino Linotype"/>
          <w:b/>
          <w:color w:val="000000" w:themeColor="text1"/>
          <w:sz w:val="24"/>
          <w:szCs w:val="24"/>
        </w:rPr>
        <w:t>04525</w:t>
      </w:r>
      <w:r w:rsidR="001C572F" w:rsidRPr="00BD2FEB">
        <w:rPr>
          <w:rFonts w:ascii="Palatino Linotype" w:hAnsi="Palatino Linotype"/>
          <w:b/>
          <w:color w:val="000000" w:themeColor="text1"/>
          <w:sz w:val="24"/>
          <w:szCs w:val="24"/>
        </w:rPr>
        <w:t>/INFOEM/IP/RR/2018</w:t>
      </w:r>
      <w:r w:rsidR="00D31E87" w:rsidRPr="00BD2FEB">
        <w:rPr>
          <w:rFonts w:ascii="Palatino Linotype" w:hAnsi="Palatino Linotype"/>
          <w:b/>
          <w:color w:val="000000" w:themeColor="text1"/>
          <w:sz w:val="24"/>
          <w:szCs w:val="24"/>
        </w:rPr>
        <w:t>.</w:t>
      </w:r>
    </w:p>
    <w:p w:rsidR="00D31E87" w:rsidRPr="00BD2FEB" w:rsidRDefault="00D31E87" w:rsidP="00D31E87">
      <w:pPr>
        <w:spacing w:line="360" w:lineRule="auto"/>
        <w:jc w:val="both"/>
        <w:rPr>
          <w:rFonts w:ascii="Palatino Linotype" w:hAnsi="Palatino Linotype"/>
          <w:color w:val="000000" w:themeColor="text1"/>
          <w:sz w:val="24"/>
          <w:szCs w:val="24"/>
        </w:rPr>
      </w:pPr>
    </w:p>
    <w:p w:rsidR="00F74D8D" w:rsidRPr="00BD2FEB" w:rsidRDefault="00D31E87" w:rsidP="00A60107">
      <w:pPr>
        <w:spacing w:line="360" w:lineRule="auto"/>
        <w:jc w:val="both"/>
        <w:rPr>
          <w:rFonts w:ascii="Palatino Linotype" w:hAnsi="Palatino Linotype"/>
          <w:color w:val="000000" w:themeColor="text1"/>
          <w:sz w:val="24"/>
          <w:szCs w:val="24"/>
        </w:rPr>
      </w:pPr>
      <w:r w:rsidRPr="00BD2FEB">
        <w:rPr>
          <w:rFonts w:ascii="Palatino Linotype" w:hAnsi="Palatino Linotype"/>
          <w:b/>
          <w:color w:val="000000" w:themeColor="text1"/>
          <w:sz w:val="24"/>
          <w:szCs w:val="24"/>
        </w:rPr>
        <w:t xml:space="preserve">Resumen </w:t>
      </w:r>
      <w:r w:rsidR="00C7598C" w:rsidRPr="00BD2FEB">
        <w:rPr>
          <w:rFonts w:ascii="Palatino Linotype" w:hAnsi="Palatino Linotype"/>
          <w:b/>
          <w:color w:val="000000" w:themeColor="text1"/>
          <w:sz w:val="24"/>
          <w:szCs w:val="24"/>
        </w:rPr>
        <w:t xml:space="preserve">del voto. </w:t>
      </w:r>
      <w:r w:rsidR="00A60107" w:rsidRPr="00BD2FEB">
        <w:rPr>
          <w:rFonts w:ascii="Palatino Linotype" w:hAnsi="Palatino Linotype"/>
          <w:color w:val="000000" w:themeColor="text1"/>
          <w:sz w:val="24"/>
          <w:szCs w:val="24"/>
        </w:rPr>
        <w:t xml:space="preserve">El </w:t>
      </w:r>
      <w:r w:rsidR="003720E0" w:rsidRPr="00BD2FEB">
        <w:rPr>
          <w:rFonts w:ascii="Palatino Linotype" w:hAnsi="Palatino Linotype"/>
          <w:color w:val="000000" w:themeColor="text1"/>
          <w:sz w:val="24"/>
          <w:szCs w:val="24"/>
        </w:rPr>
        <w:t>derecho de acceso a la información pública es un derecho humano constitucional y convencionalmente reconocido, en consecuencia, la inadecuada integración de las instituciones gubernamen</w:t>
      </w:r>
      <w:r w:rsidR="00613628" w:rsidRPr="00BD2FEB">
        <w:rPr>
          <w:rFonts w:ascii="Palatino Linotype" w:hAnsi="Palatino Linotype"/>
          <w:color w:val="000000" w:themeColor="text1"/>
          <w:sz w:val="24"/>
          <w:szCs w:val="24"/>
        </w:rPr>
        <w:t>tales encargadas de su protección</w:t>
      </w:r>
      <w:r w:rsidR="003720E0" w:rsidRPr="00BD2FEB">
        <w:rPr>
          <w:rFonts w:ascii="Palatino Linotype" w:hAnsi="Palatino Linotype"/>
          <w:color w:val="000000" w:themeColor="text1"/>
          <w:sz w:val="24"/>
          <w:szCs w:val="24"/>
        </w:rPr>
        <w:t xml:space="preserve">, indiscutiblemente afecta su ejercicio. </w:t>
      </w:r>
    </w:p>
    <w:p w:rsidR="00E97CDC" w:rsidRPr="00BD2FEB" w:rsidRDefault="00BD2FEB" w:rsidP="00A60107">
      <w:pPr>
        <w:spacing w:line="360" w:lineRule="auto"/>
        <w:jc w:val="both"/>
        <w:rPr>
          <w:rFonts w:ascii="Palatino Linotype" w:hAnsi="Palatino Linotype" w:cs="Arial"/>
          <w:b/>
          <w:color w:val="000000" w:themeColor="text1"/>
          <w:sz w:val="24"/>
          <w:szCs w:val="24"/>
        </w:rPr>
      </w:pPr>
      <w:r w:rsidRPr="00BD2FEB">
        <w:rPr>
          <w:rFonts w:ascii="Palatino Linotype" w:hAnsi="Palatino Linotype"/>
          <w:b/>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9524</wp:posOffset>
                </wp:positionV>
                <wp:extent cx="5591175" cy="49815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91175" cy="4981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820C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75pt" to="829.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" strokecolor="black [3200]" strokeweight="1.5pt">
                <v:stroke joinstyle="miter"/>
                <w10:wrap anchorx="margin"/>
              </v:line>
            </w:pict>
          </mc:Fallback>
        </mc:AlternateContent>
      </w: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BD2FEB" w:rsidRPr="00BD2FEB" w:rsidRDefault="00BD2FEB" w:rsidP="00A60107">
      <w:pPr>
        <w:spacing w:line="360" w:lineRule="auto"/>
        <w:jc w:val="both"/>
        <w:rPr>
          <w:rFonts w:ascii="Palatino Linotype" w:hAnsi="Palatino Linotype" w:cs="Arial"/>
          <w:b/>
          <w:color w:val="000000" w:themeColor="text1"/>
          <w:sz w:val="24"/>
          <w:szCs w:val="24"/>
        </w:rPr>
      </w:pPr>
    </w:p>
    <w:p w:rsidR="005B563A" w:rsidRPr="00BD2FEB" w:rsidRDefault="00010A7A" w:rsidP="005B563A">
      <w:pPr>
        <w:spacing w:after="0" w:line="360" w:lineRule="auto"/>
        <w:jc w:val="center"/>
        <w:rPr>
          <w:rFonts w:ascii="Palatino Linotype" w:hAnsi="Palatino Linotype" w:cs="Arial"/>
          <w:b/>
          <w:color w:val="000000" w:themeColor="text1"/>
          <w:sz w:val="24"/>
          <w:szCs w:val="24"/>
        </w:rPr>
      </w:pPr>
      <w:r w:rsidRPr="00BD2FEB">
        <w:rPr>
          <w:rFonts w:ascii="Palatino Linotype" w:hAnsi="Palatino Linotype" w:cs="Arial"/>
          <w:b/>
          <w:color w:val="000000" w:themeColor="text1"/>
          <w:sz w:val="24"/>
          <w:szCs w:val="24"/>
        </w:rPr>
        <w:lastRenderedPageBreak/>
        <w:t>ÍNDICE</w:t>
      </w:r>
    </w:p>
    <w:p w:rsidR="005B563A" w:rsidRPr="00BD2FEB" w:rsidRDefault="005B563A" w:rsidP="005B563A">
      <w:pPr>
        <w:spacing w:after="0" w:line="360" w:lineRule="auto"/>
        <w:jc w:val="both"/>
        <w:rPr>
          <w:rFonts w:ascii="Palatino Linotype" w:hAnsi="Palatino Linotype" w:cs="Arial"/>
          <w:b/>
          <w:color w:val="000000" w:themeColor="text1"/>
          <w:sz w:val="24"/>
          <w:szCs w:val="24"/>
        </w:rPr>
      </w:pPr>
    </w:p>
    <w:sdt>
      <w:sdtPr>
        <w:rPr>
          <w:rFonts w:ascii="Palatino Linotype" w:hAnsi="Palatino Linotype"/>
          <w:color w:val="000000" w:themeColor="text1"/>
          <w:sz w:val="24"/>
          <w:szCs w:val="24"/>
          <w:lang w:val="es-ES"/>
        </w:rPr>
        <w:id w:val="-1625236335"/>
        <w:docPartObj>
          <w:docPartGallery w:val="Table of Contents"/>
          <w:docPartUnique/>
        </w:docPartObj>
      </w:sdtPr>
      <w:sdtEndPr>
        <w:rPr>
          <w:b/>
          <w:bCs/>
        </w:rPr>
      </w:sdtEndPr>
      <w:sdtContent>
        <w:p w:rsidR="00BD2FEB" w:rsidRDefault="005B563A">
          <w:pPr>
            <w:pStyle w:val="TDC1"/>
            <w:rPr>
              <w:rFonts w:eastAsiaTheme="minorEastAsia"/>
              <w:noProof/>
              <w:lang w:eastAsia="es-MX"/>
            </w:rPr>
          </w:pPr>
          <w:r w:rsidRPr="00BD2FEB">
            <w:rPr>
              <w:rFonts w:ascii="Palatino Linotype" w:eastAsiaTheme="majorEastAsia" w:hAnsi="Palatino Linotype" w:cstheme="majorBidi"/>
              <w:color w:val="000000" w:themeColor="text1"/>
              <w:sz w:val="24"/>
              <w:szCs w:val="24"/>
              <w:lang w:eastAsia="es-MX"/>
            </w:rPr>
            <w:fldChar w:fldCharType="begin"/>
          </w:r>
          <w:r w:rsidRPr="00BD2FEB">
            <w:rPr>
              <w:rFonts w:ascii="Palatino Linotype" w:hAnsi="Palatino Linotype"/>
              <w:color w:val="000000" w:themeColor="text1"/>
              <w:sz w:val="24"/>
              <w:szCs w:val="24"/>
            </w:rPr>
            <w:instrText xml:space="preserve"> TOC \o "1-3" \h \z \u </w:instrText>
          </w:r>
          <w:r w:rsidRPr="00BD2FEB">
            <w:rPr>
              <w:rFonts w:ascii="Palatino Linotype" w:eastAsiaTheme="majorEastAsia" w:hAnsi="Palatino Linotype" w:cstheme="majorBidi"/>
              <w:color w:val="000000" w:themeColor="text1"/>
              <w:sz w:val="24"/>
              <w:szCs w:val="24"/>
              <w:lang w:eastAsia="es-MX"/>
            </w:rPr>
            <w:fldChar w:fldCharType="separate"/>
          </w:r>
          <w:hyperlink w:anchor="_Toc1391443" w:history="1">
            <w:r w:rsidR="00BD2FEB" w:rsidRPr="00E87F59">
              <w:rPr>
                <w:rStyle w:val="Hipervnculo"/>
                <w:rFonts w:ascii="Palatino Linotype" w:hAnsi="Palatino Linotype"/>
                <w:b/>
                <w:noProof/>
              </w:rPr>
              <w:t>I.</w:t>
            </w:r>
            <w:r w:rsidR="00BD2FEB">
              <w:rPr>
                <w:rFonts w:eastAsiaTheme="minorEastAsia"/>
                <w:noProof/>
                <w:lang w:eastAsia="es-MX"/>
              </w:rPr>
              <w:tab/>
            </w:r>
            <w:r w:rsidR="00BD2FEB" w:rsidRPr="00E87F59">
              <w:rPr>
                <w:rStyle w:val="Hipervnculo"/>
                <w:rFonts w:ascii="Palatino Linotype" w:hAnsi="Palatino Linotype"/>
                <w:b/>
                <w:noProof/>
              </w:rPr>
              <w:t>Consideraciones Generales</w:t>
            </w:r>
            <w:r w:rsidR="00BD2FEB">
              <w:rPr>
                <w:noProof/>
                <w:webHidden/>
              </w:rPr>
              <w:tab/>
            </w:r>
            <w:r w:rsidR="00BD2FEB">
              <w:rPr>
                <w:noProof/>
                <w:webHidden/>
              </w:rPr>
              <w:fldChar w:fldCharType="begin"/>
            </w:r>
            <w:r w:rsidR="00BD2FEB">
              <w:rPr>
                <w:noProof/>
                <w:webHidden/>
              </w:rPr>
              <w:instrText xml:space="preserve"> PAGEREF _Toc1391443 \h </w:instrText>
            </w:r>
            <w:r w:rsidR="00BD2FEB">
              <w:rPr>
                <w:noProof/>
                <w:webHidden/>
              </w:rPr>
            </w:r>
            <w:r w:rsidR="00BD2FEB">
              <w:rPr>
                <w:noProof/>
                <w:webHidden/>
              </w:rPr>
              <w:fldChar w:fldCharType="separate"/>
            </w:r>
            <w:r w:rsidR="00BD2FEB">
              <w:rPr>
                <w:noProof/>
                <w:webHidden/>
              </w:rPr>
              <w:t>2</w:t>
            </w:r>
            <w:r w:rsidR="00BD2FEB">
              <w:rPr>
                <w:noProof/>
                <w:webHidden/>
              </w:rPr>
              <w:fldChar w:fldCharType="end"/>
            </w:r>
          </w:hyperlink>
        </w:p>
        <w:p w:rsidR="00BD2FEB" w:rsidRDefault="000E0F0B">
          <w:pPr>
            <w:pStyle w:val="TDC1"/>
            <w:rPr>
              <w:rFonts w:eastAsiaTheme="minorEastAsia"/>
              <w:noProof/>
              <w:lang w:eastAsia="es-MX"/>
            </w:rPr>
          </w:pPr>
          <w:hyperlink w:anchor="_Toc1391444" w:history="1">
            <w:r w:rsidR="00BD2FEB" w:rsidRPr="00E87F59">
              <w:rPr>
                <w:rStyle w:val="Hipervnculo"/>
                <w:rFonts w:ascii="Palatino Linotype" w:hAnsi="Palatino Linotype"/>
                <w:b/>
                <w:noProof/>
              </w:rPr>
              <w:t>II.</w:t>
            </w:r>
            <w:r w:rsidR="00BD2FEB">
              <w:rPr>
                <w:rFonts w:eastAsiaTheme="minorEastAsia"/>
                <w:noProof/>
                <w:lang w:eastAsia="es-MX"/>
              </w:rPr>
              <w:tab/>
            </w:r>
            <w:r w:rsidR="00BD2FEB" w:rsidRPr="00E87F59">
              <w:rPr>
                <w:rStyle w:val="Hipervnculo"/>
                <w:rFonts w:ascii="Palatino Linotype" w:hAnsi="Palatino Linotype"/>
                <w:b/>
                <w:noProof/>
              </w:rPr>
              <w:t>De los requerimientos planteados en el recurso de revisión.</w:t>
            </w:r>
            <w:r w:rsidR="00BD2FEB">
              <w:rPr>
                <w:noProof/>
                <w:webHidden/>
              </w:rPr>
              <w:tab/>
            </w:r>
            <w:r w:rsidR="00BD2FEB">
              <w:rPr>
                <w:noProof/>
                <w:webHidden/>
              </w:rPr>
              <w:fldChar w:fldCharType="begin"/>
            </w:r>
            <w:r w:rsidR="00BD2FEB">
              <w:rPr>
                <w:noProof/>
                <w:webHidden/>
              </w:rPr>
              <w:instrText xml:space="preserve"> PAGEREF _Toc1391444 \h </w:instrText>
            </w:r>
            <w:r w:rsidR="00BD2FEB">
              <w:rPr>
                <w:noProof/>
                <w:webHidden/>
              </w:rPr>
            </w:r>
            <w:r w:rsidR="00BD2FEB">
              <w:rPr>
                <w:noProof/>
                <w:webHidden/>
              </w:rPr>
              <w:fldChar w:fldCharType="separate"/>
            </w:r>
            <w:r w:rsidR="00BD2FEB">
              <w:rPr>
                <w:noProof/>
                <w:webHidden/>
              </w:rPr>
              <w:t>3</w:t>
            </w:r>
            <w:r w:rsidR="00BD2FEB">
              <w:rPr>
                <w:noProof/>
                <w:webHidden/>
              </w:rPr>
              <w:fldChar w:fldCharType="end"/>
            </w:r>
          </w:hyperlink>
        </w:p>
        <w:p w:rsidR="00BD2FEB" w:rsidRDefault="000E0F0B">
          <w:pPr>
            <w:pStyle w:val="TDC1"/>
            <w:rPr>
              <w:rFonts w:eastAsiaTheme="minorEastAsia"/>
              <w:noProof/>
              <w:lang w:eastAsia="es-MX"/>
            </w:rPr>
          </w:pPr>
          <w:hyperlink w:anchor="_Toc1391445" w:history="1">
            <w:r w:rsidR="00BD2FEB" w:rsidRPr="00E87F59">
              <w:rPr>
                <w:rStyle w:val="Hipervnculo"/>
                <w:rFonts w:ascii="Palatino Linotype" w:hAnsi="Palatino Linotype"/>
                <w:b/>
                <w:noProof/>
              </w:rPr>
              <w:t>III.</w:t>
            </w:r>
            <w:r w:rsidR="00BD2FEB">
              <w:rPr>
                <w:rFonts w:eastAsiaTheme="minorEastAsia"/>
                <w:noProof/>
                <w:lang w:eastAsia="es-MX"/>
              </w:rPr>
              <w:tab/>
            </w:r>
            <w:r w:rsidR="00BD2FEB" w:rsidRPr="00E87F59">
              <w:rPr>
                <w:rStyle w:val="Hipervnculo"/>
                <w:rFonts w:ascii="Palatino Linotype" w:hAnsi="Palatino Linotype"/>
                <w:b/>
                <w:noProof/>
              </w:rPr>
              <w:t>Del Derecho Humano de Acceso a la Información Pública y el Comité de Transparencia.</w:t>
            </w:r>
            <w:r w:rsidR="00BD2FEB">
              <w:rPr>
                <w:noProof/>
                <w:webHidden/>
              </w:rPr>
              <w:tab/>
            </w:r>
            <w:r w:rsidR="00BD2FEB">
              <w:rPr>
                <w:noProof/>
                <w:webHidden/>
              </w:rPr>
              <w:fldChar w:fldCharType="begin"/>
            </w:r>
            <w:r w:rsidR="00BD2FEB">
              <w:rPr>
                <w:noProof/>
                <w:webHidden/>
              </w:rPr>
              <w:instrText xml:space="preserve"> PAGEREF _Toc1391445 \h </w:instrText>
            </w:r>
            <w:r w:rsidR="00BD2FEB">
              <w:rPr>
                <w:noProof/>
                <w:webHidden/>
              </w:rPr>
            </w:r>
            <w:r w:rsidR="00BD2FEB">
              <w:rPr>
                <w:noProof/>
                <w:webHidden/>
              </w:rPr>
              <w:fldChar w:fldCharType="separate"/>
            </w:r>
            <w:r w:rsidR="00BD2FEB">
              <w:rPr>
                <w:noProof/>
                <w:webHidden/>
              </w:rPr>
              <w:t>6</w:t>
            </w:r>
            <w:r w:rsidR="00BD2FEB">
              <w:rPr>
                <w:noProof/>
                <w:webHidden/>
              </w:rPr>
              <w:fldChar w:fldCharType="end"/>
            </w:r>
          </w:hyperlink>
        </w:p>
        <w:p w:rsidR="00BD2FEB" w:rsidRDefault="000E0F0B">
          <w:pPr>
            <w:pStyle w:val="TDC1"/>
            <w:rPr>
              <w:rFonts w:eastAsiaTheme="minorEastAsia"/>
              <w:noProof/>
              <w:lang w:eastAsia="es-MX"/>
            </w:rPr>
          </w:pPr>
          <w:hyperlink w:anchor="_Toc1391446" w:history="1">
            <w:r w:rsidR="00BD2FEB" w:rsidRPr="00E87F59">
              <w:rPr>
                <w:rStyle w:val="Hipervnculo"/>
                <w:rFonts w:ascii="Palatino Linotype" w:hAnsi="Palatino Linotype"/>
                <w:b/>
                <w:noProof/>
              </w:rPr>
              <w:t>IV.</w:t>
            </w:r>
            <w:r w:rsidR="00BD2FEB">
              <w:rPr>
                <w:rFonts w:eastAsiaTheme="minorEastAsia"/>
                <w:noProof/>
                <w:lang w:eastAsia="es-MX"/>
              </w:rPr>
              <w:tab/>
            </w:r>
            <w:r w:rsidR="00BD2FEB" w:rsidRPr="00E87F59">
              <w:rPr>
                <w:rStyle w:val="Hipervnculo"/>
                <w:rFonts w:ascii="Palatino Linotype" w:hAnsi="Palatino Linotype"/>
                <w:b/>
                <w:noProof/>
              </w:rPr>
              <w:t>Conclusión.</w:t>
            </w:r>
            <w:r w:rsidR="00BD2FEB">
              <w:rPr>
                <w:noProof/>
                <w:webHidden/>
              </w:rPr>
              <w:tab/>
            </w:r>
            <w:r w:rsidR="00BD2FEB">
              <w:rPr>
                <w:noProof/>
                <w:webHidden/>
              </w:rPr>
              <w:fldChar w:fldCharType="begin"/>
            </w:r>
            <w:r w:rsidR="00BD2FEB">
              <w:rPr>
                <w:noProof/>
                <w:webHidden/>
              </w:rPr>
              <w:instrText xml:space="preserve"> PAGEREF _Toc1391446 \h </w:instrText>
            </w:r>
            <w:r w:rsidR="00BD2FEB">
              <w:rPr>
                <w:noProof/>
                <w:webHidden/>
              </w:rPr>
            </w:r>
            <w:r w:rsidR="00BD2FEB">
              <w:rPr>
                <w:noProof/>
                <w:webHidden/>
              </w:rPr>
              <w:fldChar w:fldCharType="separate"/>
            </w:r>
            <w:r w:rsidR="00BD2FEB">
              <w:rPr>
                <w:noProof/>
                <w:webHidden/>
              </w:rPr>
              <w:t>13</w:t>
            </w:r>
            <w:r w:rsidR="00BD2FEB">
              <w:rPr>
                <w:noProof/>
                <w:webHidden/>
              </w:rPr>
              <w:fldChar w:fldCharType="end"/>
            </w:r>
          </w:hyperlink>
        </w:p>
        <w:p w:rsidR="00BD2FEB" w:rsidRPr="00BD2FEB" w:rsidRDefault="005B563A" w:rsidP="00610395">
          <w:pPr>
            <w:spacing w:line="480" w:lineRule="auto"/>
            <w:rPr>
              <w:rFonts w:ascii="Palatino Linotype" w:hAnsi="Palatino Linotype"/>
              <w:color w:val="000000" w:themeColor="text1"/>
              <w:sz w:val="24"/>
              <w:szCs w:val="24"/>
            </w:rPr>
          </w:pPr>
          <w:r w:rsidRPr="00BD2FEB">
            <w:rPr>
              <w:rFonts w:ascii="Palatino Linotype" w:hAnsi="Palatino Linotype"/>
              <w:b/>
              <w:bCs/>
              <w:color w:val="000000" w:themeColor="text1"/>
              <w:sz w:val="24"/>
              <w:szCs w:val="24"/>
              <w:lang w:val="es-ES"/>
            </w:rPr>
            <w:fldChar w:fldCharType="end"/>
          </w:r>
        </w:p>
      </w:sdtContent>
    </w:sdt>
    <w:p w:rsidR="00D31E87" w:rsidRPr="00BD2FEB" w:rsidRDefault="00D31E87" w:rsidP="005B563A">
      <w:pPr>
        <w:pStyle w:val="Ttulo1"/>
        <w:numPr>
          <w:ilvl w:val="0"/>
          <w:numId w:val="19"/>
        </w:numPr>
        <w:rPr>
          <w:rFonts w:ascii="Palatino Linotype" w:hAnsi="Palatino Linotype"/>
          <w:b/>
          <w:color w:val="000000" w:themeColor="text1"/>
          <w:sz w:val="24"/>
          <w:szCs w:val="24"/>
        </w:rPr>
      </w:pPr>
      <w:bookmarkStart w:id="0" w:name="_Toc1391443"/>
      <w:r w:rsidRPr="00BD2FEB">
        <w:rPr>
          <w:rFonts w:ascii="Palatino Linotype" w:hAnsi="Palatino Linotype"/>
          <w:b/>
          <w:color w:val="000000" w:themeColor="text1"/>
          <w:sz w:val="24"/>
          <w:szCs w:val="24"/>
        </w:rPr>
        <w:t>Consideraciones Generales</w:t>
      </w:r>
      <w:bookmarkEnd w:id="0"/>
    </w:p>
    <w:p w:rsidR="00D31E87" w:rsidRPr="00BD2FEB" w:rsidRDefault="00D31E87" w:rsidP="00D31E87">
      <w:pPr>
        <w:pStyle w:val="Prrafodelista"/>
        <w:spacing w:line="360" w:lineRule="auto"/>
        <w:ind w:left="1080"/>
        <w:jc w:val="both"/>
        <w:rPr>
          <w:rFonts w:ascii="Palatino Linotype" w:hAnsi="Palatino Linotype"/>
          <w:color w:val="000000" w:themeColor="text1"/>
          <w:sz w:val="24"/>
          <w:szCs w:val="24"/>
        </w:rPr>
      </w:pPr>
    </w:p>
    <w:p w:rsidR="00D31E87" w:rsidRPr="00BD2FEB" w:rsidRDefault="00E97CDC" w:rsidP="00E97CDC">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BD2FEB">
        <w:rPr>
          <w:rFonts w:ascii="Palatino Linotype" w:hAnsi="Palatino Linotype"/>
          <w:color w:val="000000" w:themeColor="text1"/>
          <w:sz w:val="24"/>
          <w:szCs w:val="24"/>
        </w:rPr>
        <w:t>He concurrido con mi voto</w:t>
      </w:r>
      <w:r w:rsidR="00BD2FEB" w:rsidRPr="00BD2FEB">
        <w:rPr>
          <w:rFonts w:ascii="Palatino Linotype" w:hAnsi="Palatino Linotype"/>
          <w:color w:val="000000" w:themeColor="text1"/>
          <w:sz w:val="24"/>
          <w:szCs w:val="24"/>
        </w:rPr>
        <w:t xml:space="preserve"> particular </w:t>
      </w:r>
      <w:r w:rsidR="00D31E87" w:rsidRPr="00BD2FEB">
        <w:rPr>
          <w:rFonts w:ascii="Palatino Linotype" w:hAnsi="Palatino Linotype"/>
          <w:color w:val="000000" w:themeColor="text1"/>
          <w:sz w:val="24"/>
          <w:szCs w:val="24"/>
        </w:rPr>
        <w:t>e</w:t>
      </w:r>
      <w:r w:rsidR="00BD2FEB" w:rsidRPr="00BD2FEB">
        <w:rPr>
          <w:rFonts w:ascii="Palatino Linotype" w:hAnsi="Palatino Linotype"/>
          <w:color w:val="000000" w:themeColor="text1"/>
          <w:sz w:val="24"/>
          <w:szCs w:val="24"/>
        </w:rPr>
        <w:t>n</w:t>
      </w:r>
      <w:r w:rsidR="00D31E87" w:rsidRPr="00BD2FEB">
        <w:rPr>
          <w:rFonts w:ascii="Palatino Linotype" w:hAnsi="Palatino Linotype"/>
          <w:color w:val="000000" w:themeColor="text1"/>
          <w:sz w:val="24"/>
          <w:szCs w:val="24"/>
        </w:rPr>
        <w:t xml:space="preserve"> la presente resolución emitida por el Pleno del Instituto de Transparencia, Acceso a la Información Pública y Protección de Datos Personales del Estad</w:t>
      </w:r>
      <w:r w:rsidRPr="00BD2FEB">
        <w:rPr>
          <w:rFonts w:ascii="Palatino Linotype" w:hAnsi="Palatino Linotype"/>
          <w:color w:val="000000" w:themeColor="text1"/>
          <w:sz w:val="24"/>
          <w:szCs w:val="24"/>
        </w:rPr>
        <w:t>o de Mé</w:t>
      </w:r>
      <w:r w:rsidR="00BD2FEB" w:rsidRPr="00BD2FEB">
        <w:rPr>
          <w:rFonts w:ascii="Palatino Linotype" w:hAnsi="Palatino Linotype"/>
          <w:color w:val="000000" w:themeColor="text1"/>
          <w:sz w:val="24"/>
          <w:szCs w:val="24"/>
        </w:rPr>
        <w:t xml:space="preserve">xico y Municipios, en su </w:t>
      </w:r>
      <w:r w:rsidR="00BD2FEB" w:rsidRPr="00BD2FEB">
        <w:rPr>
          <w:rFonts w:ascii="Palatino Linotype" w:hAnsi="Palatino Linotype"/>
          <w:b/>
          <w:color w:val="000000" w:themeColor="text1"/>
          <w:sz w:val="24"/>
          <w:szCs w:val="24"/>
        </w:rPr>
        <w:t>Sexta S</w:t>
      </w:r>
      <w:r w:rsidRPr="00BD2FEB">
        <w:rPr>
          <w:rFonts w:ascii="Palatino Linotype" w:hAnsi="Palatino Linotype"/>
          <w:b/>
          <w:color w:val="000000" w:themeColor="text1"/>
          <w:sz w:val="24"/>
          <w:szCs w:val="24"/>
        </w:rPr>
        <w:t xml:space="preserve">esión </w:t>
      </w:r>
      <w:r w:rsidRPr="00BD2FEB">
        <w:rPr>
          <w:rFonts w:ascii="Palatino Linotype" w:hAnsi="Palatino Linotype"/>
          <w:color w:val="000000" w:themeColor="text1"/>
          <w:sz w:val="24"/>
          <w:szCs w:val="24"/>
        </w:rPr>
        <w:t xml:space="preserve">ordinaria de fecha trece </w:t>
      </w:r>
      <w:r w:rsidR="00A23FC2" w:rsidRPr="00BD2FEB">
        <w:rPr>
          <w:rFonts w:ascii="Palatino Linotype" w:hAnsi="Palatino Linotype"/>
          <w:color w:val="000000" w:themeColor="text1"/>
          <w:sz w:val="24"/>
          <w:szCs w:val="24"/>
        </w:rPr>
        <w:t>(</w:t>
      </w:r>
      <w:r w:rsidRPr="00BD2FEB">
        <w:rPr>
          <w:rFonts w:ascii="Palatino Linotype" w:hAnsi="Palatino Linotype"/>
          <w:color w:val="000000" w:themeColor="text1"/>
          <w:sz w:val="24"/>
          <w:szCs w:val="24"/>
        </w:rPr>
        <w:t>1</w:t>
      </w:r>
      <w:r w:rsidR="001C572F" w:rsidRPr="00BD2FEB">
        <w:rPr>
          <w:rFonts w:ascii="Palatino Linotype" w:hAnsi="Palatino Linotype"/>
          <w:color w:val="000000" w:themeColor="text1"/>
          <w:sz w:val="24"/>
          <w:szCs w:val="24"/>
        </w:rPr>
        <w:t>3</w:t>
      </w:r>
      <w:r w:rsidR="00A23FC2" w:rsidRPr="00BD2FEB">
        <w:rPr>
          <w:rFonts w:ascii="Palatino Linotype" w:hAnsi="Palatino Linotype"/>
          <w:color w:val="000000" w:themeColor="text1"/>
          <w:sz w:val="24"/>
          <w:szCs w:val="24"/>
        </w:rPr>
        <w:t xml:space="preserve">) </w:t>
      </w:r>
      <w:r w:rsidR="00D31E87" w:rsidRPr="00BD2FEB">
        <w:rPr>
          <w:rFonts w:ascii="Palatino Linotype" w:hAnsi="Palatino Linotype"/>
          <w:color w:val="000000" w:themeColor="text1"/>
          <w:sz w:val="24"/>
          <w:szCs w:val="24"/>
        </w:rPr>
        <w:t>de</w:t>
      </w:r>
      <w:r w:rsidRPr="00BD2FEB">
        <w:rPr>
          <w:rFonts w:ascii="Palatino Linotype" w:hAnsi="Palatino Linotype"/>
          <w:color w:val="000000" w:themeColor="text1"/>
          <w:sz w:val="24"/>
          <w:szCs w:val="24"/>
        </w:rPr>
        <w:t xml:space="preserve"> febrero de dos mil diecinueve, en el recurso de revisión </w:t>
      </w:r>
      <w:r w:rsidR="00D31E87" w:rsidRPr="00BD2FEB">
        <w:rPr>
          <w:rFonts w:ascii="Palatino Linotype" w:hAnsi="Palatino Linotype"/>
          <w:color w:val="000000" w:themeColor="text1"/>
          <w:sz w:val="24"/>
          <w:szCs w:val="24"/>
        </w:rPr>
        <w:t>promovido</w:t>
      </w:r>
      <w:r w:rsidRPr="00BD2FEB">
        <w:rPr>
          <w:rFonts w:ascii="Palatino Linotype" w:hAnsi="Palatino Linotype"/>
          <w:color w:val="000000" w:themeColor="text1"/>
          <w:sz w:val="24"/>
          <w:szCs w:val="24"/>
        </w:rPr>
        <w:t xml:space="preserve"> </w:t>
      </w:r>
      <w:r w:rsidR="00D31E87" w:rsidRPr="00BD2FEB">
        <w:rPr>
          <w:rFonts w:ascii="Palatino Linotype" w:hAnsi="Palatino Linotype"/>
          <w:color w:val="000000" w:themeColor="text1"/>
          <w:sz w:val="24"/>
          <w:szCs w:val="24"/>
        </w:rPr>
        <w:t>en contra de la respuesta de</w:t>
      </w:r>
      <w:r w:rsidR="00A23FC2" w:rsidRPr="00BD2FEB">
        <w:rPr>
          <w:rFonts w:ascii="Palatino Linotype" w:hAnsi="Palatino Linotype"/>
          <w:color w:val="000000" w:themeColor="text1"/>
          <w:sz w:val="24"/>
          <w:szCs w:val="24"/>
        </w:rPr>
        <w:t xml:space="preserve"> </w:t>
      </w:r>
      <w:r w:rsidR="0032572C" w:rsidRPr="00BD2FEB">
        <w:rPr>
          <w:rFonts w:ascii="Palatino Linotype" w:hAnsi="Palatino Linotype"/>
          <w:color w:val="000000" w:themeColor="text1"/>
          <w:sz w:val="24"/>
          <w:szCs w:val="24"/>
        </w:rPr>
        <w:t>l</w:t>
      </w:r>
      <w:r w:rsidR="00A23FC2" w:rsidRPr="00BD2FEB">
        <w:rPr>
          <w:rFonts w:ascii="Palatino Linotype" w:hAnsi="Palatino Linotype"/>
          <w:color w:val="000000" w:themeColor="text1"/>
          <w:sz w:val="24"/>
          <w:szCs w:val="24"/>
        </w:rPr>
        <w:t>a</w:t>
      </w:r>
      <w:r w:rsidR="00D31E87" w:rsidRPr="00BD2FEB">
        <w:rPr>
          <w:rFonts w:ascii="Palatino Linotype" w:hAnsi="Palatino Linotype"/>
          <w:color w:val="000000" w:themeColor="text1"/>
          <w:sz w:val="24"/>
          <w:szCs w:val="24"/>
        </w:rPr>
        <w:t xml:space="preserve">  </w:t>
      </w:r>
      <w:r w:rsidR="007F104B" w:rsidRPr="00BD2FEB">
        <w:rPr>
          <w:rFonts w:ascii="Palatino Linotype" w:hAnsi="Palatino Linotype"/>
          <w:b/>
          <w:color w:val="000000" w:themeColor="text1"/>
          <w:sz w:val="24"/>
          <w:szCs w:val="24"/>
        </w:rPr>
        <w:t>Ayuntamiento de</w:t>
      </w:r>
      <w:r w:rsidRPr="00BD2FEB">
        <w:rPr>
          <w:rFonts w:ascii="Palatino Linotype" w:hAnsi="Palatino Linotype"/>
          <w:b/>
          <w:color w:val="000000" w:themeColor="text1"/>
          <w:sz w:val="24"/>
          <w:szCs w:val="24"/>
        </w:rPr>
        <w:t xml:space="preserve"> Tonatico</w:t>
      </w:r>
      <w:r w:rsidR="007F104B" w:rsidRPr="00BD2FEB">
        <w:rPr>
          <w:rFonts w:ascii="Palatino Linotype" w:hAnsi="Palatino Linotype"/>
          <w:b/>
          <w:color w:val="000000" w:themeColor="text1"/>
          <w:sz w:val="24"/>
          <w:szCs w:val="24"/>
        </w:rPr>
        <w:t xml:space="preserve"> </w:t>
      </w:r>
      <w:r w:rsidR="00D31E87" w:rsidRPr="00BD2FEB">
        <w:rPr>
          <w:rFonts w:ascii="Palatino Linotype" w:hAnsi="Palatino Linotype"/>
          <w:color w:val="000000" w:themeColor="text1"/>
          <w:sz w:val="24"/>
          <w:szCs w:val="24"/>
        </w:rPr>
        <w:t xml:space="preserve">procedimiento al que se le asignó el número de expediente </w:t>
      </w:r>
      <w:r w:rsidRPr="00BD2FEB">
        <w:rPr>
          <w:rFonts w:ascii="Palatino Linotype" w:hAnsi="Palatino Linotype"/>
          <w:color w:val="000000" w:themeColor="text1"/>
          <w:sz w:val="24"/>
          <w:szCs w:val="24"/>
        </w:rPr>
        <w:t xml:space="preserve">al rubro indicado. </w:t>
      </w:r>
    </w:p>
    <w:p w:rsidR="00D31E87" w:rsidRPr="00BD2FEB" w:rsidRDefault="00D31E87" w:rsidP="00BD2FEB">
      <w:pPr>
        <w:pStyle w:val="Prrafodelista"/>
        <w:spacing w:line="360" w:lineRule="auto"/>
        <w:ind w:left="0"/>
        <w:jc w:val="both"/>
        <w:rPr>
          <w:rFonts w:ascii="Palatino Linotype" w:hAnsi="Palatino Linotype"/>
          <w:color w:val="000000" w:themeColor="text1"/>
          <w:sz w:val="24"/>
          <w:szCs w:val="24"/>
        </w:rPr>
      </w:pPr>
    </w:p>
    <w:p w:rsidR="00BD2FEB" w:rsidRPr="00BD2FEB" w:rsidRDefault="00BD2FEB" w:rsidP="00BD2FEB">
      <w:pPr>
        <w:pStyle w:val="Prrafodelista"/>
        <w:numPr>
          <w:ilvl w:val="0"/>
          <w:numId w:val="16"/>
        </w:numPr>
        <w:spacing w:before="240" w:after="240" w:line="360" w:lineRule="auto"/>
        <w:ind w:left="0" w:firstLine="0"/>
        <w:jc w:val="both"/>
        <w:rPr>
          <w:rFonts w:ascii="Palatino Linotype" w:hAnsi="Palatino Linotype"/>
          <w:color w:val="000000" w:themeColor="text1"/>
          <w:sz w:val="24"/>
          <w:lang w:eastAsia="es-MX"/>
        </w:rPr>
      </w:pPr>
      <w:r w:rsidRPr="00BD2FEB">
        <w:rPr>
          <w:rFonts w:ascii="Palatino Linotype" w:hAnsi="Palatino Linotype"/>
          <w:color w:val="000000" w:themeColor="text1"/>
          <w:sz w:val="24"/>
          <w:lang w:eastAsia="es-MX"/>
        </w:rPr>
        <w:t xml:space="preserve">Resultan fundados los motivos de inconformidad que arguye el Recurrente, en términos del Considerando Cuarto de la resolución por lo que la ponencia encargada consideró modificar la respuesta del Sujeto Obligado, </w:t>
      </w:r>
      <w:r w:rsidRPr="00BD2FEB">
        <w:rPr>
          <w:rFonts w:ascii="Palatino Linotype" w:hAnsi="Palatino Linotype"/>
          <w:color w:val="000000" w:themeColor="text1"/>
          <w:sz w:val="24"/>
          <w:szCs w:val="24"/>
        </w:rPr>
        <w:t>y</w:t>
      </w:r>
      <w:r w:rsidR="00D62D08" w:rsidRPr="00BD2FEB">
        <w:rPr>
          <w:rFonts w:ascii="Palatino Linotype" w:hAnsi="Palatino Linotype"/>
          <w:color w:val="000000" w:themeColor="text1"/>
          <w:sz w:val="24"/>
          <w:szCs w:val="24"/>
        </w:rPr>
        <w:t xml:space="preserve"> si bien es cierto estoy de acuerdo en el sentido en que se re</w:t>
      </w:r>
      <w:r w:rsidR="00010A7A" w:rsidRPr="00BD2FEB">
        <w:rPr>
          <w:rFonts w:ascii="Palatino Linotype" w:hAnsi="Palatino Linotype"/>
          <w:color w:val="000000" w:themeColor="text1"/>
          <w:sz w:val="24"/>
          <w:szCs w:val="24"/>
        </w:rPr>
        <w:t>suelve el recurso de mérito; también lo es que resulta</w:t>
      </w:r>
      <w:r w:rsidR="00D62D08" w:rsidRPr="00BD2FEB">
        <w:rPr>
          <w:rFonts w:ascii="Palatino Linotype" w:hAnsi="Palatino Linotype"/>
          <w:color w:val="000000" w:themeColor="text1"/>
          <w:sz w:val="24"/>
          <w:szCs w:val="24"/>
        </w:rPr>
        <w:t xml:space="preserve"> dable hacer énfasis en la respuesta otorgada por parte del Sujeto Obligado a la solicitud de </w:t>
      </w:r>
      <w:r w:rsidR="00613628" w:rsidRPr="00BD2FEB">
        <w:rPr>
          <w:rFonts w:ascii="Palatino Linotype" w:hAnsi="Palatino Linotype"/>
          <w:color w:val="000000" w:themeColor="text1"/>
          <w:sz w:val="24"/>
          <w:szCs w:val="24"/>
        </w:rPr>
        <w:t xml:space="preserve">información </w:t>
      </w:r>
      <w:r w:rsidR="00613628" w:rsidRPr="00BD2FEB">
        <w:rPr>
          <w:rFonts w:ascii="Palatino Linotype" w:hAnsi="Palatino Linotype"/>
          <w:b/>
          <w:color w:val="000000" w:themeColor="text1"/>
          <w:sz w:val="24"/>
          <w:szCs w:val="24"/>
        </w:rPr>
        <w:t xml:space="preserve">00038/TONATICO/IP/2018. </w:t>
      </w:r>
    </w:p>
    <w:p w:rsidR="00BD2FEB" w:rsidRPr="00BD2FEB" w:rsidRDefault="00613628" w:rsidP="00BD2FEB">
      <w:pPr>
        <w:pStyle w:val="Prrafodelista"/>
        <w:numPr>
          <w:ilvl w:val="0"/>
          <w:numId w:val="16"/>
        </w:numPr>
        <w:spacing w:before="240" w:after="240" w:line="360" w:lineRule="auto"/>
        <w:ind w:left="0" w:firstLine="0"/>
        <w:jc w:val="both"/>
        <w:rPr>
          <w:rFonts w:ascii="Palatino Linotype" w:hAnsi="Palatino Linotype"/>
          <w:color w:val="000000" w:themeColor="text1"/>
          <w:sz w:val="24"/>
          <w:lang w:eastAsia="es-MX"/>
        </w:rPr>
      </w:pPr>
      <w:r w:rsidRPr="00BD2FEB">
        <w:rPr>
          <w:rFonts w:ascii="Palatino Linotype" w:hAnsi="Palatino Linotype"/>
          <w:b/>
          <w:color w:val="000000" w:themeColor="text1"/>
          <w:sz w:val="24"/>
          <w:szCs w:val="24"/>
        </w:rPr>
        <w:lastRenderedPageBreak/>
        <w:t xml:space="preserve"> </w:t>
      </w:r>
      <w:r w:rsidR="00D31E87" w:rsidRPr="00BD2FEB">
        <w:rPr>
          <w:rFonts w:ascii="Palatino Linotype" w:hAnsi="Palatino Linotype"/>
          <w:color w:val="000000" w:themeColor="text1"/>
          <w:sz w:val="24"/>
          <w:szCs w:val="24"/>
        </w:rPr>
        <w:t>Por tal motivo y en términos de lo señalado por el artículo 14 fracción XI del Reglamento Interior del Instituto de Transparencia y Acceso a la Información Pública del Estado de México y Munici</w:t>
      </w:r>
      <w:r w:rsidR="00E97CDC" w:rsidRPr="00BD2FEB">
        <w:rPr>
          <w:rFonts w:ascii="Palatino Linotype" w:hAnsi="Palatino Linotype"/>
          <w:color w:val="000000" w:themeColor="text1"/>
          <w:sz w:val="24"/>
          <w:szCs w:val="24"/>
        </w:rPr>
        <w:t>pios formulo el presente voto</w:t>
      </w:r>
      <w:r w:rsidR="00D31E87" w:rsidRPr="00BD2FEB">
        <w:rPr>
          <w:rFonts w:ascii="Palatino Linotype" w:hAnsi="Palatino Linotype"/>
          <w:color w:val="000000" w:themeColor="text1"/>
          <w:sz w:val="24"/>
          <w:szCs w:val="24"/>
        </w:rPr>
        <w:t xml:space="preserve"> particular.</w:t>
      </w:r>
      <w:bookmarkStart w:id="1" w:name="_Toc469919070"/>
      <w:bookmarkStart w:id="2" w:name="_Toc503442037"/>
    </w:p>
    <w:p w:rsidR="00BD2FEB" w:rsidRPr="00BD2FEB" w:rsidRDefault="00BD2FEB" w:rsidP="00610395">
      <w:pPr>
        <w:pStyle w:val="Ttulo1"/>
        <w:numPr>
          <w:ilvl w:val="0"/>
          <w:numId w:val="19"/>
        </w:numPr>
        <w:ind w:left="0" w:firstLine="0"/>
        <w:rPr>
          <w:rFonts w:ascii="Palatino Linotype" w:hAnsi="Palatino Linotype"/>
          <w:b/>
          <w:color w:val="000000" w:themeColor="text1"/>
          <w:sz w:val="24"/>
        </w:rPr>
      </w:pPr>
      <w:bookmarkStart w:id="3" w:name="_Toc1391444"/>
      <w:r w:rsidRPr="00BD2FEB">
        <w:rPr>
          <w:rFonts w:ascii="Palatino Linotype" w:hAnsi="Palatino Linotype"/>
          <w:b/>
          <w:color w:val="000000" w:themeColor="text1"/>
          <w:sz w:val="24"/>
        </w:rPr>
        <w:t>De los requerimientos planteados en el recurso de revisión</w:t>
      </w:r>
      <w:bookmarkEnd w:id="1"/>
      <w:bookmarkEnd w:id="2"/>
      <w:r w:rsidRPr="00BD2FEB">
        <w:rPr>
          <w:rFonts w:ascii="Palatino Linotype" w:hAnsi="Palatino Linotype"/>
          <w:b/>
          <w:color w:val="000000" w:themeColor="text1"/>
          <w:sz w:val="24"/>
        </w:rPr>
        <w:t>.</w:t>
      </w:r>
      <w:bookmarkEnd w:id="3"/>
    </w:p>
    <w:p w:rsidR="00AA3039" w:rsidRPr="00BD2FEB" w:rsidRDefault="00AA3039" w:rsidP="00AA3039">
      <w:pPr>
        <w:pStyle w:val="Prrafodelista"/>
        <w:rPr>
          <w:rFonts w:ascii="Palatino Linotype" w:hAnsi="Palatino Linotype"/>
        </w:rPr>
      </w:pPr>
    </w:p>
    <w:p w:rsidR="00BD2FEB" w:rsidRPr="00BD2FEB" w:rsidRDefault="00BD2FEB" w:rsidP="00BD2FEB">
      <w:pPr>
        <w:pStyle w:val="Prrafodelista"/>
        <w:numPr>
          <w:ilvl w:val="0"/>
          <w:numId w:val="16"/>
        </w:numPr>
        <w:spacing w:after="0" w:line="360" w:lineRule="auto"/>
        <w:ind w:left="0" w:right="49" w:firstLine="0"/>
        <w:jc w:val="both"/>
        <w:rPr>
          <w:rFonts w:ascii="Palatino Linotype" w:hAnsi="Palatino Linotype" w:cs="Arial"/>
          <w:sz w:val="24"/>
          <w:szCs w:val="24"/>
        </w:rPr>
      </w:pPr>
      <w:r w:rsidRPr="00BD2FEB">
        <w:rPr>
          <w:rFonts w:ascii="Palatino Linotype" w:hAnsi="Palatino Linotype" w:cs="Arial"/>
          <w:sz w:val="24"/>
          <w:szCs w:val="24"/>
        </w:rPr>
        <w:t xml:space="preserve">El particular requirió del </w:t>
      </w:r>
      <w:r w:rsidRPr="00BD2FEB">
        <w:rPr>
          <w:rFonts w:ascii="Palatino Linotype" w:hAnsi="Palatino Linotype" w:cs="Arial"/>
          <w:b/>
          <w:sz w:val="24"/>
          <w:szCs w:val="24"/>
        </w:rPr>
        <w:t xml:space="preserve">Ayuntamiento de Tonatico </w:t>
      </w:r>
      <w:r w:rsidRPr="00BD2FEB">
        <w:rPr>
          <w:rFonts w:ascii="Palatino Linotype" w:hAnsi="Palatino Linotype" w:cs="Arial"/>
          <w:sz w:val="24"/>
          <w:szCs w:val="24"/>
        </w:rPr>
        <w:t xml:space="preserve">lo siguiente: </w:t>
      </w:r>
    </w:p>
    <w:p w:rsidR="00BD2FEB" w:rsidRPr="00BD2FEB" w:rsidRDefault="00BD2FEB" w:rsidP="00BD2FEB">
      <w:pPr>
        <w:pStyle w:val="Prrafodelista"/>
        <w:spacing w:after="0" w:line="360" w:lineRule="auto"/>
        <w:ind w:left="567" w:right="616"/>
        <w:jc w:val="both"/>
        <w:rPr>
          <w:rFonts w:ascii="Palatino Linotype" w:hAnsi="Palatino Linotype" w:cs="Arial"/>
          <w:sz w:val="24"/>
          <w:szCs w:val="24"/>
        </w:rPr>
      </w:pPr>
    </w:p>
    <w:p w:rsidR="00BD2FEB" w:rsidRPr="00BD2FEB" w:rsidRDefault="00BD2FEB" w:rsidP="00BD2FEB">
      <w:pPr>
        <w:pStyle w:val="Prrafodelista"/>
        <w:spacing w:line="360" w:lineRule="auto"/>
        <w:ind w:left="567" w:right="616"/>
        <w:jc w:val="both"/>
        <w:rPr>
          <w:rFonts w:ascii="Palatino Linotype" w:hAnsi="Palatino Linotype" w:cs="Arial"/>
          <w:i/>
          <w:sz w:val="24"/>
          <w:szCs w:val="24"/>
          <w:lang w:val="es-ES_tradnl"/>
        </w:rPr>
      </w:pPr>
      <w:r w:rsidRPr="00BD2FEB">
        <w:rPr>
          <w:rFonts w:ascii="Palatino Linotype" w:hAnsi="Palatino Linotype" w:cs="Arial"/>
          <w:i/>
          <w:sz w:val="24"/>
          <w:szCs w:val="24"/>
          <w:lang w:val="es-ES_tradnl"/>
        </w:rPr>
        <w:t>“SOLICITO C. PRESIDENTA COMO ESTA CONFORMADO SU COMITÉ DE LA UNIDA DE TRANSPARENCIA 1 Sujeto Obligado 2 Titular de la Unidad de Transparencia 3 Suplente del Titular de la Unidad de Transparencia 4 Responsable del Área Coordinadora del Archivo o Equivalente</w:t>
      </w:r>
      <w:r w:rsidRPr="00BD2FEB">
        <w:rPr>
          <w:rFonts w:ascii="Palatino Linotype" w:hAnsi="Palatino Linotype" w:cs="Arial"/>
          <w:i/>
          <w:sz w:val="24"/>
          <w:szCs w:val="24"/>
          <w:lang w:val="es-ES_tradnl"/>
        </w:rPr>
        <w:tab/>
        <w:t>5 Suplente del Responsable del Área Coordinadora del Archivo o Equivalente, solicito nombres de los responsables y sus funciones por su atención gracias” (sic)</w:t>
      </w:r>
    </w:p>
    <w:p w:rsidR="00BD2FEB" w:rsidRPr="00BD2FEB" w:rsidRDefault="00BD2FEB" w:rsidP="00BD2FEB">
      <w:pPr>
        <w:pStyle w:val="Prrafodelista"/>
        <w:spacing w:line="360" w:lineRule="auto"/>
        <w:ind w:left="567" w:right="616"/>
        <w:jc w:val="both"/>
        <w:rPr>
          <w:rFonts w:ascii="Palatino Linotype" w:hAnsi="Palatino Linotype" w:cs="Arial"/>
          <w:i/>
          <w:sz w:val="24"/>
          <w:szCs w:val="24"/>
          <w:lang w:val="es-ES_tradnl"/>
        </w:rPr>
      </w:pPr>
    </w:p>
    <w:p w:rsidR="00BD2FEB" w:rsidRPr="00BD2FEB" w:rsidRDefault="00BD2FEB" w:rsidP="00BD2FEB">
      <w:pPr>
        <w:pStyle w:val="Prrafodelista"/>
        <w:numPr>
          <w:ilvl w:val="0"/>
          <w:numId w:val="16"/>
        </w:numPr>
        <w:spacing w:after="0" w:line="360" w:lineRule="auto"/>
        <w:ind w:left="0" w:firstLine="0"/>
        <w:jc w:val="both"/>
        <w:rPr>
          <w:rFonts w:ascii="Palatino Linotype" w:hAnsi="Palatino Linotype" w:cs="Arial"/>
          <w:sz w:val="24"/>
          <w:szCs w:val="24"/>
        </w:rPr>
      </w:pPr>
      <w:r w:rsidRPr="00BD2FEB">
        <w:rPr>
          <w:rFonts w:ascii="Palatino Linotype" w:hAnsi="Palatino Linotype" w:cs="Arial"/>
          <w:sz w:val="24"/>
          <w:szCs w:val="24"/>
        </w:rPr>
        <w:t xml:space="preserve">El Sujeto Obligado mediante su escrito dio respuesta a la solicitud de información, de la siguiente manera: </w:t>
      </w:r>
    </w:p>
    <w:p w:rsidR="00BD2FEB" w:rsidRPr="00BD2FEB" w:rsidRDefault="00BD2FEB" w:rsidP="00BD2FEB">
      <w:pPr>
        <w:pStyle w:val="Prrafodelista"/>
        <w:spacing w:after="0" w:line="360" w:lineRule="auto"/>
        <w:ind w:left="0"/>
        <w:jc w:val="both"/>
        <w:rPr>
          <w:rFonts w:ascii="Palatino Linotype" w:hAnsi="Palatino Linotype" w:cs="Arial"/>
          <w:sz w:val="24"/>
          <w:szCs w:val="24"/>
        </w:rPr>
      </w:pPr>
    </w:p>
    <w:p w:rsidR="00BD2FEB" w:rsidRPr="00BD2FEB" w:rsidRDefault="00BD2FEB" w:rsidP="00BD2FEB">
      <w:pPr>
        <w:pStyle w:val="Prrafodelista"/>
        <w:spacing w:line="360" w:lineRule="auto"/>
        <w:ind w:left="567" w:right="616"/>
        <w:jc w:val="right"/>
        <w:rPr>
          <w:rFonts w:ascii="Palatino Linotype" w:hAnsi="Palatino Linotype" w:cs="Arial"/>
          <w:i/>
          <w:sz w:val="24"/>
          <w:szCs w:val="24"/>
        </w:rPr>
      </w:pPr>
      <w:r w:rsidRPr="00BD2FEB">
        <w:rPr>
          <w:rFonts w:ascii="Palatino Linotype" w:hAnsi="Palatino Linotype" w:cs="Arial"/>
          <w:i/>
          <w:sz w:val="24"/>
          <w:szCs w:val="24"/>
        </w:rPr>
        <w:t>“Tonatico, México a 26 de Noviembre de 2018</w:t>
      </w:r>
    </w:p>
    <w:p w:rsidR="00BD2FEB" w:rsidRPr="00BD2FEB" w:rsidRDefault="00BD2FEB" w:rsidP="00BD2FEB">
      <w:pPr>
        <w:pStyle w:val="Prrafodelista"/>
        <w:spacing w:line="360" w:lineRule="auto"/>
        <w:ind w:left="567" w:right="616"/>
        <w:jc w:val="right"/>
        <w:rPr>
          <w:rFonts w:ascii="Palatino Linotype" w:hAnsi="Palatino Linotype" w:cs="Arial"/>
          <w:i/>
          <w:sz w:val="24"/>
          <w:szCs w:val="24"/>
        </w:rPr>
      </w:pPr>
      <w:r w:rsidRPr="00BD2FEB">
        <w:rPr>
          <w:rFonts w:ascii="Palatino Linotype" w:hAnsi="Palatino Linotype" w:cs="Arial"/>
          <w:i/>
          <w:sz w:val="24"/>
          <w:szCs w:val="24"/>
        </w:rPr>
        <w:t xml:space="preserve">Nombre del solicitante: </w:t>
      </w:r>
      <w:r w:rsidR="000E0F0B" w:rsidRPr="000E0F0B">
        <w:rPr>
          <w:rFonts w:ascii="Palatino Linotype" w:hAnsi="Palatino Linotype" w:cs="Arial"/>
          <w:i/>
          <w:sz w:val="24"/>
          <w:szCs w:val="24"/>
          <w:highlight w:val="black"/>
        </w:rPr>
        <w:t>---------------------------------------------------------</w:t>
      </w:r>
    </w:p>
    <w:p w:rsidR="00BD2FEB" w:rsidRPr="00BD2FEB" w:rsidRDefault="00BD2FEB" w:rsidP="00BD2FEB">
      <w:pPr>
        <w:pStyle w:val="Prrafodelista"/>
        <w:spacing w:line="360" w:lineRule="auto"/>
        <w:ind w:left="567" w:right="616"/>
        <w:jc w:val="right"/>
        <w:rPr>
          <w:rFonts w:ascii="Palatino Linotype" w:hAnsi="Palatino Linotype" w:cs="Arial"/>
          <w:i/>
          <w:sz w:val="24"/>
          <w:szCs w:val="24"/>
        </w:rPr>
      </w:pPr>
      <w:r w:rsidRPr="00BD2FEB">
        <w:rPr>
          <w:rFonts w:ascii="Palatino Linotype" w:hAnsi="Palatino Linotype" w:cs="Arial"/>
          <w:i/>
          <w:sz w:val="24"/>
          <w:szCs w:val="24"/>
        </w:rPr>
        <w:t>Folio de la solicitud: 00038/TONATICO/IP/2018</w:t>
      </w:r>
    </w:p>
    <w:p w:rsidR="00BD2FEB" w:rsidRPr="00BD2FEB" w:rsidRDefault="00BD2FEB" w:rsidP="00BD2FEB">
      <w:pPr>
        <w:pStyle w:val="Prrafodelista"/>
        <w:spacing w:line="360" w:lineRule="auto"/>
        <w:ind w:left="567" w:right="616"/>
        <w:jc w:val="both"/>
        <w:rPr>
          <w:rFonts w:ascii="Palatino Linotype" w:hAnsi="Palatino Linotype" w:cs="Arial"/>
          <w:i/>
          <w:sz w:val="24"/>
          <w:szCs w:val="24"/>
        </w:rPr>
      </w:pPr>
    </w:p>
    <w:p w:rsidR="00BD2FEB" w:rsidRPr="00BD2FEB" w:rsidRDefault="00BD2FEB" w:rsidP="00BD2FEB">
      <w:pPr>
        <w:pStyle w:val="Prrafodelista"/>
        <w:spacing w:line="360" w:lineRule="auto"/>
        <w:ind w:left="567" w:right="616"/>
        <w:jc w:val="both"/>
        <w:rPr>
          <w:rFonts w:ascii="Palatino Linotype" w:hAnsi="Palatino Linotype" w:cs="Arial"/>
          <w:b/>
          <w:i/>
          <w:sz w:val="24"/>
          <w:szCs w:val="24"/>
        </w:rPr>
      </w:pPr>
      <w:r w:rsidRPr="00BD2FEB">
        <w:rPr>
          <w:rFonts w:ascii="Palatino Linotype" w:hAnsi="Palatino Linotype" w:cs="Arial"/>
          <w:i/>
          <w:sz w:val="24"/>
          <w:szCs w:val="24"/>
        </w:rPr>
        <w:lastRenderedPageBreak/>
        <w:t>EN ATENCIÓN A SU SOLICITUD SE ANEXA LA INFORMACION SOLICITADA 1 Sujeto Obligado</w:t>
      </w:r>
      <w:r w:rsidRPr="00BD2FEB">
        <w:rPr>
          <w:rFonts w:ascii="Palatino Linotype" w:hAnsi="Palatino Linotype" w:cs="Arial"/>
          <w:i/>
          <w:sz w:val="24"/>
          <w:szCs w:val="24"/>
        </w:rPr>
        <w:tab/>
        <w:t xml:space="preserve">H. AYUNTAMIENTO DE TONATICO 2 Titular de la Unidad de Transparencia P.D. JAVIER CARLOS ALBARRAN ANDRADE FUNCIONES I. Recabar, difundir y actualizar la información pública de oficio a la que se refiere esta Ley; II. Entregar, en su caso, a los particulares la información solicitada; III. Auxiliar a los particulares en la elaboración de solicitudes y, en su caso, orientarlos sobre el lugar donde les pueden proporcionar la información que solicitan; IV. Efectuar las notificaciones a los particulares; V. Proponer al Comité los procedimientos internos que contribuyan a la mayor eficiencia en la atención de las solicitudes de acceso a la información; VI. Proponer a quien preside el Comité de Información, los servidores públicos habilitados en cada unidad administrativa; VII. Llevar un registro de las solicitudes de acceso a la información, sus resultados y costos; VIII. Presentar ante el Comité, el proyecto de clasificación de información; IX. Las demás necesarias para facilitar el acceso a la información; y X. Las demás que disponga esta Ley y las disposiciones reglamentarias. </w:t>
      </w:r>
      <w:r w:rsidRPr="00BD2FEB">
        <w:rPr>
          <w:rFonts w:ascii="Palatino Linotype" w:hAnsi="Palatino Linotype" w:cs="Arial"/>
          <w:b/>
          <w:i/>
          <w:sz w:val="24"/>
          <w:szCs w:val="24"/>
        </w:rPr>
        <w:t>3 Suplente del Titular de la Unidad de Transparencia</w:t>
      </w:r>
      <w:r w:rsidRPr="00BD2FEB">
        <w:rPr>
          <w:rFonts w:ascii="Palatino Linotype" w:hAnsi="Palatino Linotype" w:cs="Arial"/>
          <w:b/>
          <w:i/>
          <w:sz w:val="24"/>
          <w:szCs w:val="24"/>
        </w:rPr>
        <w:tab/>
        <w:t>NO SE TIENE</w:t>
      </w:r>
      <w:r w:rsidRPr="00BD2FEB">
        <w:rPr>
          <w:rFonts w:ascii="Palatino Linotype" w:hAnsi="Palatino Linotype" w:cs="Arial"/>
          <w:i/>
          <w:sz w:val="24"/>
          <w:szCs w:val="24"/>
        </w:rPr>
        <w:tab/>
        <w:t xml:space="preserve">4 Responsable del Área Coordinadora del Archivo o Equivalente P.L.C.C. MARIO DANIEL GUADARRAMA ZAREÑANA FUNCIONES I. Asistir a las sesiones del ayuntamiento y levantar las actas correspondientes; II. Emitir los citatorios para la celebración de las sesiones de cabildo, convocadas legalmente; III. Dar cuenta en la primera sesión de cada mes, del número y contenido de los </w:t>
      </w:r>
      <w:r w:rsidRPr="00BD2FEB">
        <w:rPr>
          <w:rFonts w:ascii="Palatino Linotype" w:hAnsi="Palatino Linotype" w:cs="Arial"/>
          <w:i/>
          <w:sz w:val="24"/>
          <w:szCs w:val="24"/>
        </w:rPr>
        <w:lastRenderedPageBreak/>
        <w:t xml:space="preserve">expedientes pasados a comisión, con mención de los que hayan sido resueltos y de los pendientes; IV. Llevar y conservar los libros de actas de cabildo, obteniendo las firmas de los asistentes a las sesiones; V. Validar con su firma, los documentos oficiales emanados del ayuntamiento o de cualquiera de sus miembros; VI. Tener a su cargo el archivo general del ayuntamiento; VII. Controlar y distribuir la correspondencia oficial del ayuntamiento, dando cuenta diaria al presidente municipal para acordar su trámite; VIII. Publicar los reglamentos, circulares y demás disposiciones municipales de observancia general; 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w:t>
      </w:r>
      <w:r w:rsidRPr="00BD2FEB">
        <w:rPr>
          <w:rFonts w:ascii="Palatino Linotype" w:hAnsi="Palatino Linotype" w:cs="Arial"/>
          <w:i/>
          <w:sz w:val="24"/>
          <w:szCs w:val="24"/>
        </w:rPr>
        <w:lastRenderedPageBreak/>
        <w:t xml:space="preserve">hábiles a partir de su adquisición y presentar un informe trimestral al cabildo para su conocimiento y opinión. XII. Integrar un sistema de información que contenga datos de los aspectos socioeconómicos básicos del municipio; XIII. Ser responsable de la publicación de la Gaceta Municipal, así como de las publicaciones en los estrados de los Ayuntamientos; y XIV. Las demás que le confieran esta Ley y disposiciones aplicables. </w:t>
      </w:r>
      <w:r w:rsidRPr="00BD2FEB">
        <w:rPr>
          <w:rFonts w:ascii="Palatino Linotype" w:hAnsi="Palatino Linotype" w:cs="Arial"/>
          <w:b/>
          <w:i/>
          <w:sz w:val="24"/>
          <w:szCs w:val="24"/>
        </w:rPr>
        <w:t>5 Suplente del Responsable del Área Coordinadora del Archivo o Equivalente NO SE TIENE</w:t>
      </w:r>
    </w:p>
    <w:p w:rsidR="00BD2FEB" w:rsidRPr="00BD2FEB" w:rsidRDefault="00BD2FEB" w:rsidP="00BD2FEB">
      <w:pPr>
        <w:pStyle w:val="Prrafodelista"/>
        <w:spacing w:line="360" w:lineRule="auto"/>
        <w:ind w:left="567" w:right="616"/>
        <w:jc w:val="both"/>
        <w:rPr>
          <w:rFonts w:ascii="Palatino Linotype" w:hAnsi="Palatino Linotype" w:cs="Arial"/>
          <w:i/>
          <w:sz w:val="24"/>
          <w:szCs w:val="24"/>
        </w:rPr>
      </w:pPr>
    </w:p>
    <w:p w:rsidR="00BD2FEB" w:rsidRPr="00BD2FEB" w:rsidRDefault="00BD2FEB" w:rsidP="00BD2FEB">
      <w:pPr>
        <w:pStyle w:val="Prrafodelista"/>
        <w:spacing w:line="360" w:lineRule="auto"/>
        <w:ind w:left="567" w:right="616"/>
        <w:jc w:val="both"/>
        <w:rPr>
          <w:rFonts w:ascii="Palatino Linotype" w:hAnsi="Palatino Linotype" w:cs="Arial"/>
          <w:i/>
          <w:sz w:val="24"/>
          <w:szCs w:val="24"/>
        </w:rPr>
      </w:pPr>
      <w:r w:rsidRPr="00BD2FEB">
        <w:rPr>
          <w:rFonts w:ascii="Palatino Linotype" w:hAnsi="Palatino Linotype" w:cs="Arial"/>
          <w:i/>
          <w:sz w:val="24"/>
          <w:szCs w:val="24"/>
        </w:rPr>
        <w:t>ATENTAMENTE</w:t>
      </w:r>
    </w:p>
    <w:p w:rsidR="00BD2FEB" w:rsidRPr="00BD2FEB" w:rsidRDefault="00BD2FEB" w:rsidP="00BD2FEB">
      <w:pPr>
        <w:pStyle w:val="Prrafodelista"/>
        <w:spacing w:line="360" w:lineRule="auto"/>
        <w:ind w:left="567" w:right="616"/>
        <w:jc w:val="both"/>
        <w:rPr>
          <w:rFonts w:ascii="Palatino Linotype" w:hAnsi="Palatino Linotype" w:cs="Arial"/>
          <w:i/>
          <w:sz w:val="24"/>
          <w:szCs w:val="24"/>
        </w:rPr>
      </w:pPr>
      <w:r w:rsidRPr="00BD2FEB">
        <w:rPr>
          <w:rFonts w:ascii="Palatino Linotype" w:hAnsi="Palatino Linotype" w:cs="Arial"/>
          <w:i/>
          <w:sz w:val="24"/>
          <w:szCs w:val="24"/>
        </w:rPr>
        <w:t>C. JAVIER CARLOS ALBARRAN ANDRADE” (sic)</w:t>
      </w:r>
    </w:p>
    <w:p w:rsidR="00BD2FEB" w:rsidRPr="00BD2FEB" w:rsidRDefault="00BD2FEB" w:rsidP="00BD2FEB">
      <w:pPr>
        <w:pStyle w:val="Prrafodelista"/>
        <w:spacing w:line="360" w:lineRule="auto"/>
        <w:ind w:left="567" w:right="616"/>
        <w:jc w:val="both"/>
        <w:rPr>
          <w:rFonts w:ascii="Palatino Linotype" w:hAnsi="Palatino Linotype" w:cs="Arial"/>
          <w:i/>
          <w:sz w:val="24"/>
          <w:szCs w:val="24"/>
        </w:rPr>
      </w:pPr>
      <w:r w:rsidRPr="00BD2FEB">
        <w:rPr>
          <w:rFonts w:ascii="Palatino Linotype" w:hAnsi="Palatino Linotype" w:cs="Arial"/>
          <w:i/>
          <w:sz w:val="24"/>
          <w:szCs w:val="24"/>
        </w:rPr>
        <w:t xml:space="preserve">(Énfasis añadido) </w:t>
      </w:r>
    </w:p>
    <w:p w:rsidR="00BD2FEB" w:rsidRPr="00BD2FEB" w:rsidRDefault="00BD2FEB" w:rsidP="00BD2FEB">
      <w:pPr>
        <w:pStyle w:val="Prrafodelista"/>
        <w:spacing w:line="360" w:lineRule="auto"/>
        <w:jc w:val="both"/>
        <w:rPr>
          <w:rFonts w:ascii="Palatino Linotype" w:hAnsi="Palatino Linotype" w:cs="Arial"/>
          <w:i/>
          <w:sz w:val="24"/>
          <w:szCs w:val="24"/>
        </w:rPr>
      </w:pPr>
    </w:p>
    <w:p w:rsidR="00BD2FEB" w:rsidRPr="00BD2FEB" w:rsidRDefault="00BD2FEB" w:rsidP="00BD2FEB">
      <w:pPr>
        <w:pStyle w:val="Prrafodelista"/>
        <w:numPr>
          <w:ilvl w:val="0"/>
          <w:numId w:val="16"/>
        </w:numPr>
        <w:spacing w:after="0" w:line="360" w:lineRule="auto"/>
        <w:ind w:left="0" w:firstLine="0"/>
        <w:jc w:val="both"/>
        <w:rPr>
          <w:rFonts w:ascii="Palatino Linotype" w:hAnsi="Palatino Linotype" w:cs="Arial"/>
          <w:sz w:val="24"/>
          <w:szCs w:val="24"/>
        </w:rPr>
      </w:pPr>
      <w:r w:rsidRPr="00BD2FEB">
        <w:rPr>
          <w:rFonts w:ascii="Palatino Linotype" w:hAnsi="Palatino Linotype" w:cs="Arial"/>
          <w:sz w:val="24"/>
          <w:szCs w:val="24"/>
        </w:rPr>
        <w:t>En ese sentido, es de señalar que el Sujeto Obligado refiere que no se cuenta con un suplente del Titular de la Unidad de Transparencia y del Responsable del Área de Archivo, por lo que a mi consideración, es necesario delimitar que dicha omisión trae consigo una posible vulneración al derecho de acceso a la información.</w:t>
      </w:r>
    </w:p>
    <w:p w:rsidR="00BD2FEB" w:rsidRPr="00BD2FEB" w:rsidRDefault="00BD2FEB" w:rsidP="00610395">
      <w:pPr>
        <w:pStyle w:val="Ttulo1"/>
        <w:numPr>
          <w:ilvl w:val="0"/>
          <w:numId w:val="19"/>
        </w:numPr>
        <w:ind w:left="142" w:hanging="142"/>
        <w:rPr>
          <w:rFonts w:ascii="Palatino Linotype" w:hAnsi="Palatino Linotype"/>
          <w:b/>
          <w:color w:val="000000" w:themeColor="text1"/>
          <w:sz w:val="24"/>
        </w:rPr>
      </w:pPr>
      <w:bookmarkStart w:id="4" w:name="_Toc1391445"/>
      <w:r w:rsidRPr="00BD2FEB">
        <w:rPr>
          <w:rFonts w:ascii="Palatino Linotype" w:hAnsi="Palatino Linotype"/>
          <w:b/>
          <w:color w:val="000000" w:themeColor="text1"/>
          <w:sz w:val="24"/>
        </w:rPr>
        <w:t>Del Derecho Humano de Acceso a la Información Pública</w:t>
      </w:r>
      <w:r>
        <w:rPr>
          <w:rFonts w:ascii="Palatino Linotype" w:hAnsi="Palatino Linotype"/>
          <w:b/>
          <w:color w:val="000000" w:themeColor="text1"/>
          <w:sz w:val="24"/>
        </w:rPr>
        <w:t xml:space="preserve"> y el Comité de Transparencia.</w:t>
      </w:r>
      <w:bookmarkEnd w:id="4"/>
      <w:r>
        <w:rPr>
          <w:rFonts w:ascii="Palatino Linotype" w:hAnsi="Palatino Linotype"/>
          <w:b/>
          <w:color w:val="000000" w:themeColor="text1"/>
          <w:sz w:val="24"/>
        </w:rPr>
        <w:t xml:space="preserve"> </w:t>
      </w:r>
    </w:p>
    <w:p w:rsidR="00BD2FEB" w:rsidRPr="00BD2FEB" w:rsidRDefault="00BD2FEB" w:rsidP="00BD2FEB">
      <w:pPr>
        <w:pStyle w:val="Prrafodelista"/>
        <w:spacing w:after="0" w:line="360" w:lineRule="auto"/>
        <w:jc w:val="both"/>
        <w:rPr>
          <w:rFonts w:ascii="Palatino Linotype" w:hAnsi="Palatino Linotype" w:cs="Arial"/>
          <w:sz w:val="24"/>
          <w:szCs w:val="24"/>
        </w:rPr>
      </w:pPr>
    </w:p>
    <w:p w:rsidR="00BD2FEB" w:rsidRPr="00BD2FEB" w:rsidRDefault="00AA3039" w:rsidP="00BD2FEB">
      <w:pPr>
        <w:pStyle w:val="Prrafodelista"/>
        <w:numPr>
          <w:ilvl w:val="0"/>
          <w:numId w:val="16"/>
        </w:numPr>
        <w:spacing w:after="0" w:line="360" w:lineRule="auto"/>
        <w:ind w:left="0" w:firstLine="0"/>
        <w:jc w:val="both"/>
        <w:rPr>
          <w:rFonts w:ascii="Palatino Linotype" w:hAnsi="Palatino Linotype" w:cs="Arial"/>
          <w:sz w:val="24"/>
          <w:szCs w:val="24"/>
        </w:rPr>
      </w:pPr>
      <w:r w:rsidRPr="00BD2FEB">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BD2FEB">
        <w:rPr>
          <w:rFonts w:ascii="Palatino Linotype" w:eastAsia="Times New Roman" w:hAnsi="Palatino Linotype" w:cs="Arial"/>
          <w:b/>
          <w:sz w:val="24"/>
          <w:szCs w:val="24"/>
        </w:rPr>
        <w:t>Constitución Política de los Estados Unidos Mexicanos</w:t>
      </w:r>
      <w:r w:rsidRPr="00BD2FEB">
        <w:rPr>
          <w:rFonts w:ascii="Palatino Linotype" w:eastAsia="Times New Roman" w:hAnsi="Palatino Linotype" w:cs="Arial"/>
          <w:sz w:val="24"/>
          <w:szCs w:val="24"/>
        </w:rPr>
        <w:t xml:space="preserve">, 13 párrafos 1 y 2 del </w:t>
      </w:r>
      <w:r w:rsidRPr="00BD2FEB">
        <w:rPr>
          <w:rFonts w:ascii="Palatino Linotype" w:eastAsia="Times New Roman" w:hAnsi="Palatino Linotype" w:cs="Arial"/>
          <w:b/>
          <w:sz w:val="24"/>
          <w:szCs w:val="24"/>
        </w:rPr>
        <w:t xml:space="preserve">Pacto </w:t>
      </w:r>
      <w:r w:rsidRPr="00BD2FEB">
        <w:rPr>
          <w:rFonts w:ascii="Palatino Linotype" w:eastAsia="Times New Roman" w:hAnsi="Palatino Linotype" w:cs="Arial"/>
          <w:b/>
          <w:sz w:val="24"/>
          <w:szCs w:val="24"/>
        </w:rPr>
        <w:lastRenderedPageBreak/>
        <w:t>de San José de Costa Rica</w:t>
      </w:r>
      <w:r w:rsidRPr="00BD2FEB">
        <w:rPr>
          <w:rFonts w:ascii="Palatino Linotype" w:eastAsia="Times New Roman" w:hAnsi="Palatino Linotype" w:cs="Arial"/>
          <w:sz w:val="24"/>
          <w:szCs w:val="24"/>
        </w:rPr>
        <w:t xml:space="preserve">, </w:t>
      </w:r>
      <w:r w:rsidRPr="00BD2FEB">
        <w:rPr>
          <w:rFonts w:ascii="Palatino Linotype" w:hAnsi="Palatino Linotype" w:cs="Arial"/>
          <w:sz w:val="24"/>
          <w:szCs w:val="24"/>
        </w:rPr>
        <w:t xml:space="preserve">11, 12, 13 de la </w:t>
      </w:r>
      <w:r w:rsidRPr="00BD2FEB">
        <w:rPr>
          <w:rFonts w:ascii="Palatino Linotype" w:hAnsi="Palatino Linotype"/>
          <w:b/>
          <w:sz w:val="24"/>
          <w:szCs w:val="24"/>
        </w:rPr>
        <w:t>Ley General de Transparencia y Acceso a la Información Pública</w:t>
      </w:r>
      <w:r w:rsidRPr="00BD2FEB">
        <w:rPr>
          <w:rFonts w:ascii="Palatino Linotype" w:eastAsia="Times New Roman" w:hAnsi="Palatino Linotype" w:cs="Arial"/>
          <w:sz w:val="24"/>
          <w:szCs w:val="24"/>
        </w:rPr>
        <w:t xml:space="preserve"> y 5 de la </w:t>
      </w:r>
      <w:r w:rsidRPr="00BD2FEB">
        <w:rPr>
          <w:rFonts w:ascii="Palatino Linotype" w:eastAsia="Times New Roman" w:hAnsi="Palatino Linotype" w:cs="Arial"/>
          <w:b/>
          <w:sz w:val="24"/>
          <w:szCs w:val="24"/>
        </w:rPr>
        <w:t>Constitución Política del Estado Libre y Soberano de México</w:t>
      </w:r>
      <w:r w:rsidRPr="00BD2FEB">
        <w:rPr>
          <w:rFonts w:ascii="Palatino Linotype" w:eastAsia="Times New Roman" w:hAnsi="Palatino Linotype" w:cs="Arial"/>
          <w:sz w:val="24"/>
          <w:szCs w:val="24"/>
        </w:rPr>
        <w:t>; y</w:t>
      </w:r>
      <w:r w:rsidRPr="00BD2FEB">
        <w:rPr>
          <w:rFonts w:ascii="Palatino Linotype" w:eastAsia="Times New Roman" w:hAnsi="Palatino Linotype" w:cs="Arial"/>
          <w:b/>
          <w:sz w:val="24"/>
          <w:szCs w:val="24"/>
        </w:rPr>
        <w:t xml:space="preserve">, </w:t>
      </w:r>
      <w:r w:rsidRPr="00BD2FEB">
        <w:rPr>
          <w:rFonts w:ascii="Palatino Linotype" w:eastAsia="Times New Roman" w:hAnsi="Palatino Linotype" w:cs="Arial"/>
          <w:sz w:val="24"/>
          <w:szCs w:val="24"/>
        </w:rPr>
        <w:t xml:space="preserve">razón por la cual todos los órganos del </w:t>
      </w:r>
      <w:r w:rsidRPr="00BD2FEB">
        <w:rPr>
          <w:rFonts w:ascii="Palatino Linotype" w:eastAsia="Times New Roman" w:hAnsi="Palatino Linotype" w:cs="Arial"/>
          <w:b/>
          <w:sz w:val="24"/>
          <w:szCs w:val="24"/>
        </w:rPr>
        <w:t>Estado</w:t>
      </w:r>
      <w:r w:rsidRPr="00BD2FEB">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BD2FEB" w:rsidRPr="00BD2FEB" w:rsidRDefault="00BD2FEB" w:rsidP="00BD2FEB">
      <w:pPr>
        <w:pStyle w:val="Prrafodelista"/>
        <w:spacing w:after="0" w:line="360" w:lineRule="auto"/>
        <w:ind w:left="0"/>
        <w:jc w:val="both"/>
        <w:rPr>
          <w:rFonts w:ascii="Palatino Linotype" w:hAnsi="Palatino Linotype" w:cs="Arial"/>
          <w:sz w:val="24"/>
          <w:szCs w:val="24"/>
        </w:rPr>
      </w:pPr>
    </w:p>
    <w:p w:rsidR="00AA3039" w:rsidRPr="00BD2FEB" w:rsidRDefault="00AA3039" w:rsidP="00BD2FEB">
      <w:pPr>
        <w:pStyle w:val="Prrafodelista"/>
        <w:numPr>
          <w:ilvl w:val="0"/>
          <w:numId w:val="16"/>
        </w:numPr>
        <w:spacing w:after="0" w:line="360" w:lineRule="auto"/>
        <w:ind w:left="0" w:firstLine="0"/>
        <w:jc w:val="both"/>
        <w:rPr>
          <w:rFonts w:ascii="Palatino Linotype" w:hAnsi="Palatino Linotype" w:cs="Arial"/>
          <w:sz w:val="24"/>
          <w:szCs w:val="24"/>
        </w:rPr>
      </w:pPr>
      <w:r w:rsidRPr="00BD2FEB">
        <w:rPr>
          <w:rFonts w:ascii="Palatino Linotype" w:hAnsi="Palatino Linotype" w:cs="Arial"/>
          <w:bCs/>
          <w:color w:val="000000" w:themeColor="text1"/>
          <w:sz w:val="24"/>
          <w:szCs w:val="24"/>
        </w:rPr>
        <w:t>En efecto, el derecho fundamental de acceso a la información pública se desarrolla en varias vertientes:</w:t>
      </w:r>
    </w:p>
    <w:p w:rsidR="00AA3039" w:rsidRPr="00BD2FEB" w:rsidRDefault="00AA3039" w:rsidP="00AA3039">
      <w:pPr>
        <w:pStyle w:val="Prrafodelista"/>
        <w:spacing w:before="240" w:after="240" w:line="360" w:lineRule="auto"/>
        <w:ind w:left="851"/>
        <w:jc w:val="both"/>
        <w:rPr>
          <w:rFonts w:ascii="Palatino Linotype" w:hAnsi="Palatino Linotype" w:cs="Arial"/>
          <w:sz w:val="24"/>
          <w:szCs w:val="24"/>
        </w:rPr>
      </w:pPr>
    </w:p>
    <w:p w:rsidR="00AA3039" w:rsidRPr="00BD2FEB" w:rsidRDefault="00AA3039" w:rsidP="00AA3039">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BD2FEB" w:rsidRPr="00BD2FEB" w:rsidRDefault="00AA3039" w:rsidP="00BD2FEB">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BD2FEB" w:rsidRPr="00BD2FEB" w:rsidRDefault="00BD2FEB" w:rsidP="00BD2FEB">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 xml:space="preserve">Impone a las autoridades la obligación de realizar todas las gestiones necesarias para mantener a las áreas encargadas de transparentar sus acciones, adecuadamente integradas.  </w:t>
      </w:r>
    </w:p>
    <w:p w:rsidR="00AA3039" w:rsidRPr="00BD2FEB" w:rsidRDefault="00AA3039" w:rsidP="00BD2FEB">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BD2FEB">
        <w:rPr>
          <w:rFonts w:ascii="Palatino Linotype" w:hAnsi="Palatino Linotype" w:cs="Arial"/>
          <w:bCs/>
          <w:color w:val="000000" w:themeColor="text1"/>
          <w:sz w:val="24"/>
          <w:szCs w:val="24"/>
        </w:rPr>
        <w:lastRenderedPageBreak/>
        <w:t>por razones de interés público y en los términos expresamente señalados en la ley.</w:t>
      </w:r>
    </w:p>
    <w:p w:rsidR="00AA3039" w:rsidRPr="00BD2FEB" w:rsidRDefault="00AA3039" w:rsidP="00AA3039">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AA3039" w:rsidRPr="00BD2FEB" w:rsidRDefault="00AA3039" w:rsidP="00AA3039">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AA3039" w:rsidRPr="00BD2FEB" w:rsidRDefault="00AA3039" w:rsidP="00AA3039">
      <w:pPr>
        <w:pStyle w:val="Prrafodelista"/>
        <w:numPr>
          <w:ilvl w:val="0"/>
          <w:numId w:val="4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D2FEB">
        <w:rPr>
          <w:rFonts w:ascii="Palatino Linotype" w:hAnsi="Palatino Linotype" w:cs="Arial"/>
          <w:bCs/>
          <w:color w:val="000000" w:themeColor="text1"/>
          <w:sz w:val="24"/>
          <w:szCs w:val="24"/>
        </w:rPr>
        <w:t>Impone el</w:t>
      </w:r>
      <w:r w:rsidRPr="00BD2FEB">
        <w:rPr>
          <w:rFonts w:ascii="Palatino Linotype" w:hAnsi="Palatino Linotype"/>
          <w:bCs/>
          <w:color w:val="000000" w:themeColor="text1"/>
          <w:sz w:val="24"/>
          <w:szCs w:val="24"/>
        </w:rPr>
        <w:t xml:space="preserve"> </w:t>
      </w:r>
      <w:hyperlink r:id="rId8" w:tooltip="Derechos civiles y políticos" w:history="1">
        <w:r w:rsidRPr="00BD2FEB">
          <w:rPr>
            <w:rFonts w:ascii="Palatino Linotype" w:hAnsi="Palatino Linotype"/>
            <w:bCs/>
            <w:color w:val="000000" w:themeColor="text1"/>
            <w:sz w:val="24"/>
            <w:szCs w:val="24"/>
          </w:rPr>
          <w:t>derecho</w:t>
        </w:r>
      </w:hyperlink>
      <w:r w:rsidRPr="00BD2FEB">
        <w:rPr>
          <w:rFonts w:ascii="Palatino Linotype" w:hAnsi="Palatino Linotype"/>
          <w:bCs/>
          <w:color w:val="000000" w:themeColor="text1"/>
          <w:sz w:val="24"/>
          <w:szCs w:val="24"/>
        </w:rPr>
        <w:t xml:space="preserve"> </w:t>
      </w:r>
      <w:r w:rsidRPr="00BD2FEB">
        <w:rPr>
          <w:rFonts w:ascii="Palatino Linotype" w:hAnsi="Palatino Linotype" w:cs="Arial"/>
          <w:bCs/>
          <w:color w:val="000000" w:themeColor="text1"/>
          <w:sz w:val="24"/>
          <w:szCs w:val="24"/>
        </w:rPr>
        <w:t xml:space="preserve">de una persona de buscar, </w:t>
      </w:r>
      <w:r w:rsidRPr="00BD2FEB">
        <w:rPr>
          <w:rFonts w:ascii="Palatino Linotype" w:hAnsi="Palatino Linotype" w:cs="Arial"/>
          <w:b/>
          <w:bCs/>
          <w:color w:val="000000" w:themeColor="text1"/>
          <w:sz w:val="24"/>
          <w:szCs w:val="24"/>
          <w:u w:val="single"/>
        </w:rPr>
        <w:t xml:space="preserve">recibir </w:t>
      </w:r>
      <w:r w:rsidRPr="00BD2FEB">
        <w:rPr>
          <w:rFonts w:ascii="Palatino Linotype" w:hAnsi="Palatino Linotype" w:cs="Arial"/>
          <w:bCs/>
          <w:color w:val="000000" w:themeColor="text1"/>
          <w:sz w:val="24"/>
          <w:szCs w:val="24"/>
        </w:rPr>
        <w:t>y difundir información en poder del gobierno u administraciones públicas.</w:t>
      </w:r>
    </w:p>
    <w:p w:rsidR="00AA3039" w:rsidRPr="00BD2FEB" w:rsidRDefault="00AA3039" w:rsidP="00AA3039">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cs="Arial"/>
          <w:sz w:val="24"/>
          <w:szCs w:val="24"/>
        </w:rPr>
        <w:t xml:space="preserve">Por tanto, para que los </w:t>
      </w:r>
      <w:r w:rsidRPr="00BD2FEB">
        <w:rPr>
          <w:rFonts w:ascii="Palatino Linotype" w:hAnsi="Palatino Linotype" w:cs="Arial"/>
          <w:b/>
          <w:sz w:val="24"/>
          <w:szCs w:val="24"/>
        </w:rPr>
        <w:t>SUJETOS OBLIGADOS</w:t>
      </w:r>
      <w:r w:rsidRPr="00BD2FEB">
        <w:rPr>
          <w:rFonts w:ascii="Palatino Linotype" w:hAnsi="Palatino Linotype" w:cs="Arial"/>
          <w:sz w:val="24"/>
          <w:szCs w:val="24"/>
        </w:rPr>
        <w:t xml:space="preserve"> hagan efectivo el derecho de las personas de </w:t>
      </w:r>
      <w:r w:rsidRPr="00BD2FEB">
        <w:rPr>
          <w:rFonts w:ascii="Palatino Linotype" w:hAnsi="Palatino Linotype" w:cs="Arial"/>
          <w:b/>
          <w:sz w:val="24"/>
          <w:szCs w:val="24"/>
        </w:rPr>
        <w:t>buscar, recibir y difundir información pública</w:t>
      </w:r>
      <w:r w:rsidRPr="00BD2FEB">
        <w:rPr>
          <w:rFonts w:ascii="Palatino Linotype" w:hAnsi="Palatino Linotype" w:cs="Arial"/>
          <w:sz w:val="24"/>
          <w:szCs w:val="24"/>
        </w:rPr>
        <w:t xml:space="preserve">, información que los </w:t>
      </w:r>
      <w:r w:rsidRPr="00BD2FEB">
        <w:rPr>
          <w:rFonts w:ascii="Palatino Linotype" w:hAnsi="Palatino Linotype" w:cs="Arial"/>
          <w:b/>
          <w:sz w:val="24"/>
          <w:szCs w:val="24"/>
        </w:rPr>
        <w:t>SUJETOS OBLIGADOS</w:t>
      </w:r>
      <w:r w:rsidRPr="00BD2FEB">
        <w:rPr>
          <w:rFonts w:ascii="Palatino Linotype" w:hAnsi="Palatino Linotype" w:cs="Arial"/>
          <w:sz w:val="24"/>
          <w:szCs w:val="24"/>
        </w:rPr>
        <w:t xml:space="preserve"> generen, administren o posean, y que deben</w:t>
      </w:r>
      <w:r w:rsidR="00BD2FEB" w:rsidRPr="00BD2FEB">
        <w:rPr>
          <w:rFonts w:ascii="Palatino Linotype" w:hAnsi="Palatino Linotype" w:cs="Arial"/>
          <w:sz w:val="24"/>
          <w:szCs w:val="24"/>
        </w:rPr>
        <w:t xml:space="preserve"> de instrumentar todas las gestiones necesarias para </w:t>
      </w:r>
      <w:r w:rsidRPr="00BD2FEB">
        <w:rPr>
          <w:rFonts w:ascii="Palatino Linotype" w:hAnsi="Palatino Linotype" w:cs="Arial"/>
          <w:sz w:val="24"/>
          <w:szCs w:val="24"/>
        </w:rPr>
        <w:t>poner a disposición de los particulares los documentos en los que conste el ejercicio de sus atribuciones legales o que por cualquier circunstancia obre en sus archivos.</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w:t>
      </w:r>
      <w:r w:rsidRPr="00BD2FEB">
        <w:rPr>
          <w:rFonts w:ascii="Palatino Linotype" w:hAnsi="Palatino Linotype"/>
          <w:sz w:val="24"/>
          <w:szCs w:val="24"/>
        </w:rPr>
        <w:lastRenderedPageBreak/>
        <w:t>afirmar que existe un verdadero estado social y democrático de derecho, en el cual todas las personas pueden participar activamente en los asuntos que las afecten y una Administración Pública comprometida con el bienestar general.</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rPr>
      </w:pPr>
    </w:p>
    <w:p w:rsidR="00AA3039" w:rsidRPr="00BD2FEB" w:rsidRDefault="00AA3039" w:rsidP="00AA3039">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w:t>
      </w:r>
      <w:r w:rsidR="00BD2FEB" w:rsidRPr="00BD2FEB">
        <w:rPr>
          <w:rFonts w:ascii="Palatino Linotype" w:hAnsi="Palatino Linotype"/>
          <w:sz w:val="24"/>
          <w:szCs w:val="24"/>
        </w:rPr>
        <w:t xml:space="preserve"> sus gobernados y representados.</w:t>
      </w:r>
    </w:p>
    <w:p w:rsidR="00BD2FEB" w:rsidRPr="00BD2FEB" w:rsidRDefault="00BD2FEB" w:rsidP="00BD2FEB">
      <w:pPr>
        <w:pStyle w:val="Prrafodelista"/>
        <w:spacing w:before="240" w:after="240" w:line="360" w:lineRule="auto"/>
        <w:ind w:left="0"/>
        <w:jc w:val="both"/>
        <w:rPr>
          <w:rFonts w:ascii="Palatino Linotype" w:hAnsi="Palatino Linotype" w:cs="Arial"/>
          <w:sz w:val="24"/>
          <w:szCs w:val="24"/>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lastRenderedPageBreak/>
        <w:t xml:space="preserve">La Constitución Política de los Estados Unidos Mexicanos, adopta la </w:t>
      </w:r>
      <w:r w:rsidRPr="00BD2FEB">
        <w:rPr>
          <w:rFonts w:ascii="Palatino Linotype" w:hAnsi="Palatino Linotype"/>
          <w:i/>
          <w:sz w:val="24"/>
          <w:szCs w:val="24"/>
        </w:rPr>
        <w:t>ratio decidendi</w:t>
      </w:r>
      <w:r w:rsidRPr="00BD2FEB">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highlight w:val="lightGray"/>
        </w:rPr>
      </w:pPr>
    </w:p>
    <w:p w:rsidR="00AA3039" w:rsidRPr="00BD2FEB" w:rsidRDefault="00AA3039" w:rsidP="00BD2FEB">
      <w:pPr>
        <w:pStyle w:val="Prrafodelista"/>
        <w:numPr>
          <w:ilvl w:val="0"/>
          <w:numId w:val="16"/>
        </w:numPr>
        <w:spacing w:before="240" w:after="240" w:line="360" w:lineRule="auto"/>
        <w:ind w:left="0" w:firstLine="0"/>
        <w:jc w:val="both"/>
        <w:rPr>
          <w:rFonts w:ascii="Palatino Linotype" w:hAnsi="Palatino Linotype" w:cs="Arial"/>
          <w:sz w:val="24"/>
          <w:szCs w:val="24"/>
        </w:rPr>
      </w:pPr>
      <w:r w:rsidRPr="00BD2FEB">
        <w:rPr>
          <w:rFonts w:ascii="Palatino Linotype" w:hAnsi="Palatino Linotype"/>
          <w:sz w:val="24"/>
          <w:szCs w:val="24"/>
        </w:rPr>
        <w:t xml:space="preserve">En efecto, </w:t>
      </w:r>
      <w:r w:rsidR="00BD2FEB" w:rsidRPr="00BD2FEB">
        <w:rPr>
          <w:rFonts w:ascii="Palatino Linotype" w:hAnsi="Palatino Linotype"/>
          <w:sz w:val="24"/>
          <w:szCs w:val="24"/>
        </w:rPr>
        <w:t xml:space="preserve">el propósito de </w:t>
      </w:r>
      <w:r w:rsidRPr="00BD2FEB">
        <w:rPr>
          <w:rFonts w:ascii="Palatino Linotype" w:hAnsi="Palatino Linotype"/>
          <w:sz w:val="24"/>
          <w:szCs w:val="24"/>
        </w:rPr>
        <w:t>la Ley de Transparencia y Acceso a la Información Pública del Estado de México y Municipios,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AA3039" w:rsidRPr="00BD2FEB" w:rsidRDefault="00AA3039" w:rsidP="00AA3039">
      <w:pPr>
        <w:pStyle w:val="Prrafodelista"/>
        <w:spacing w:before="240" w:after="240" w:line="360" w:lineRule="auto"/>
        <w:ind w:left="0"/>
        <w:jc w:val="both"/>
        <w:rPr>
          <w:rFonts w:ascii="Palatino Linotype" w:hAnsi="Palatino Linotype" w:cs="Arial"/>
          <w:sz w:val="24"/>
          <w:szCs w:val="24"/>
        </w:rPr>
      </w:pPr>
    </w:p>
    <w:p w:rsidR="00A72E20" w:rsidRPr="00BD2FEB" w:rsidRDefault="00BD2FEB" w:rsidP="00BD2FEB">
      <w:pPr>
        <w:pStyle w:val="Prrafodelista"/>
        <w:numPr>
          <w:ilvl w:val="0"/>
          <w:numId w:val="16"/>
        </w:numPr>
        <w:pBdr>
          <w:top w:val="nil"/>
          <w:left w:val="nil"/>
          <w:bottom w:val="nil"/>
          <w:right w:val="nil"/>
          <w:between w:val="nil"/>
          <w:bar w:val="nil"/>
        </w:pBdr>
        <w:spacing w:before="240" w:after="240" w:line="360" w:lineRule="auto"/>
        <w:ind w:left="0" w:firstLine="0"/>
        <w:jc w:val="both"/>
        <w:rPr>
          <w:rFonts w:ascii="Palatino Linotype" w:hAnsi="Palatino Linotype"/>
          <w:color w:val="000000" w:themeColor="text1"/>
          <w:sz w:val="24"/>
          <w:szCs w:val="24"/>
        </w:rPr>
      </w:pPr>
      <w:r w:rsidRPr="00BD2FEB">
        <w:rPr>
          <w:rFonts w:ascii="Palatino Linotype" w:hAnsi="Palatino Linotype"/>
          <w:sz w:val="24"/>
          <w:szCs w:val="24"/>
        </w:rPr>
        <w:t xml:space="preserve">Derivado de lo anterior, y afecto de privilegiar el Derecho de Acceso a la Información, </w:t>
      </w:r>
      <w:r w:rsidR="00AA3039" w:rsidRPr="00BD2FEB">
        <w:rPr>
          <w:rFonts w:ascii="Palatino Linotype" w:hAnsi="Palatino Linotype"/>
          <w:sz w:val="24"/>
          <w:szCs w:val="24"/>
        </w:rPr>
        <w:t xml:space="preserve">se </w:t>
      </w:r>
      <w:r w:rsidRPr="00BD2FEB">
        <w:rPr>
          <w:rFonts w:ascii="Palatino Linotype" w:hAnsi="Palatino Linotype"/>
          <w:sz w:val="24"/>
          <w:szCs w:val="24"/>
        </w:rPr>
        <w:t>impone también la obligación de mantener a las áreas encargadas de dicha tarea, como lo es el Comité de Tra</w:t>
      </w:r>
      <w:r w:rsidR="00610395">
        <w:rPr>
          <w:rFonts w:ascii="Palatino Linotype" w:hAnsi="Palatino Linotype"/>
          <w:sz w:val="24"/>
          <w:szCs w:val="24"/>
        </w:rPr>
        <w:t>n</w:t>
      </w:r>
      <w:r w:rsidRPr="00BD2FEB">
        <w:rPr>
          <w:rFonts w:ascii="Palatino Linotype" w:hAnsi="Palatino Linotype"/>
          <w:sz w:val="24"/>
          <w:szCs w:val="24"/>
        </w:rPr>
        <w:t>sparencia, debidamente integradas</w:t>
      </w:r>
      <w:r w:rsidRPr="00BD2FEB">
        <w:rPr>
          <w:rFonts w:ascii="Palatino Linotype" w:hAnsi="Palatino Linotype"/>
          <w:color w:val="000000" w:themeColor="text1"/>
          <w:sz w:val="24"/>
          <w:szCs w:val="24"/>
        </w:rPr>
        <w:t>, e</w:t>
      </w:r>
      <w:r w:rsidR="000E72BE" w:rsidRPr="00BD2FEB">
        <w:rPr>
          <w:rFonts w:ascii="Palatino Linotype" w:hAnsi="Palatino Linotype"/>
          <w:color w:val="000000" w:themeColor="text1"/>
          <w:sz w:val="24"/>
          <w:szCs w:val="24"/>
        </w:rPr>
        <w:t xml:space="preserve">n </w:t>
      </w:r>
      <w:r w:rsidR="000E72BE" w:rsidRPr="00BD2FEB">
        <w:rPr>
          <w:rFonts w:ascii="Palatino Linotype" w:hAnsi="Palatino Linotype"/>
          <w:color w:val="000000" w:themeColor="text1"/>
          <w:sz w:val="24"/>
          <w:szCs w:val="24"/>
        </w:rPr>
        <w:lastRenderedPageBreak/>
        <w:t>ese orden de ideas, p</w:t>
      </w:r>
      <w:r w:rsidR="00A72E20" w:rsidRPr="00BD2FEB">
        <w:rPr>
          <w:rFonts w:ascii="Palatino Linotype" w:hAnsi="Palatino Linotype"/>
          <w:color w:val="000000" w:themeColor="text1"/>
          <w:sz w:val="24"/>
          <w:szCs w:val="24"/>
        </w:rPr>
        <w:t>rimeramente, es preciso traer a contexto el artículo 3 de la ley de la materia en sus fracciones IV y XXXIX, que establecen lo siguiente:</w:t>
      </w:r>
    </w:p>
    <w:p w:rsidR="00D62D08" w:rsidRPr="00BD2FEB" w:rsidRDefault="00D62D08" w:rsidP="000E72BE">
      <w:pPr>
        <w:pStyle w:val="Prrafodelista"/>
        <w:spacing w:line="360" w:lineRule="auto"/>
        <w:ind w:left="851" w:right="474"/>
        <w:jc w:val="both"/>
        <w:rPr>
          <w:rFonts w:ascii="Palatino Linotype" w:hAnsi="Palatino Linotype"/>
          <w:i/>
          <w:color w:val="000000" w:themeColor="text1"/>
          <w:szCs w:val="24"/>
        </w:rPr>
      </w:pPr>
    </w:p>
    <w:p w:rsidR="000E72BE" w:rsidRPr="00BD2FEB" w:rsidRDefault="00BD2FEB" w:rsidP="00BD2FEB">
      <w:pPr>
        <w:pStyle w:val="Prrafodelista"/>
        <w:spacing w:line="360" w:lineRule="auto"/>
        <w:ind w:left="851" w:right="616"/>
        <w:jc w:val="both"/>
        <w:rPr>
          <w:rFonts w:ascii="Palatino Linotype" w:hAnsi="Palatino Linotype"/>
          <w:i/>
          <w:color w:val="000000" w:themeColor="text1"/>
          <w:szCs w:val="24"/>
        </w:rPr>
      </w:pPr>
      <w:r w:rsidRPr="00BD2FEB">
        <w:rPr>
          <w:rFonts w:ascii="Palatino Linotype" w:hAnsi="Palatino Linotype"/>
          <w:i/>
          <w:color w:val="000000" w:themeColor="text1"/>
          <w:szCs w:val="24"/>
        </w:rPr>
        <w:t>“</w:t>
      </w:r>
      <w:r w:rsidR="000E72BE" w:rsidRPr="00BD2FEB">
        <w:rPr>
          <w:rFonts w:ascii="Palatino Linotype" w:hAnsi="Palatino Linotype"/>
          <w:b/>
          <w:i/>
          <w:color w:val="000000" w:themeColor="text1"/>
          <w:szCs w:val="24"/>
        </w:rPr>
        <w:t>Artículo 3.</w:t>
      </w:r>
      <w:r w:rsidR="000E72BE" w:rsidRPr="00BD2FEB">
        <w:rPr>
          <w:rFonts w:ascii="Palatino Linotype" w:hAnsi="Palatino Linotype"/>
          <w:i/>
          <w:color w:val="000000" w:themeColor="text1"/>
          <w:szCs w:val="24"/>
        </w:rPr>
        <w:t xml:space="preserve"> Para los efectos de la presente Ley se entenderá por:</w:t>
      </w:r>
    </w:p>
    <w:p w:rsidR="000E72BE" w:rsidRPr="00BD2FEB" w:rsidRDefault="000E72BE" w:rsidP="00BD2FEB">
      <w:pPr>
        <w:pStyle w:val="Prrafodelista"/>
        <w:spacing w:line="360" w:lineRule="auto"/>
        <w:ind w:left="851" w:right="616"/>
        <w:jc w:val="both"/>
        <w:rPr>
          <w:rFonts w:ascii="Palatino Linotype" w:hAnsi="Palatino Linotype"/>
          <w:i/>
          <w:color w:val="000000" w:themeColor="text1"/>
          <w:szCs w:val="24"/>
        </w:rPr>
      </w:pPr>
      <w:r w:rsidRPr="00BD2FEB">
        <w:rPr>
          <w:rFonts w:ascii="Palatino Linotype" w:hAnsi="Palatino Linotype"/>
          <w:i/>
          <w:color w:val="000000" w:themeColor="text1"/>
          <w:szCs w:val="24"/>
        </w:rPr>
        <w:t>...</w:t>
      </w:r>
    </w:p>
    <w:p w:rsidR="00BD2FEB" w:rsidRPr="00BD2FEB" w:rsidRDefault="000E72BE" w:rsidP="00BD2FEB">
      <w:pPr>
        <w:pStyle w:val="Prrafodelista"/>
        <w:spacing w:line="360" w:lineRule="auto"/>
        <w:ind w:left="851" w:right="616"/>
        <w:jc w:val="both"/>
        <w:rPr>
          <w:rFonts w:ascii="Palatino Linotype" w:hAnsi="Palatino Linotype"/>
          <w:i/>
          <w:color w:val="000000" w:themeColor="text1"/>
          <w:szCs w:val="24"/>
        </w:rPr>
      </w:pPr>
      <w:r w:rsidRPr="00BD2FEB">
        <w:rPr>
          <w:rFonts w:ascii="Palatino Linotype" w:hAnsi="Palatino Linotype"/>
          <w:i/>
          <w:color w:val="000000" w:themeColor="text1"/>
          <w:szCs w:val="24"/>
        </w:rPr>
        <w:t xml:space="preserve">IV. </w:t>
      </w:r>
      <w:r w:rsidRPr="00BD2FEB">
        <w:rPr>
          <w:rFonts w:ascii="Palatino Linotype" w:hAnsi="Palatino Linotype"/>
          <w:b/>
          <w:i/>
          <w:color w:val="000000" w:themeColor="text1"/>
          <w:szCs w:val="24"/>
        </w:rPr>
        <w:t>Comité de Transparencia:</w:t>
      </w:r>
      <w:r w:rsidRPr="00BD2FEB">
        <w:rPr>
          <w:rFonts w:ascii="Palatino Linotype" w:hAnsi="Palatino Linotype"/>
          <w:i/>
          <w:color w:val="000000" w:themeColor="text1"/>
          <w:szCs w:val="24"/>
        </w:rPr>
        <w:t xml:space="preserve"> Cuerpo colegiado que se integre para </w:t>
      </w:r>
      <w:r w:rsidRPr="00BD2FEB">
        <w:rPr>
          <w:rFonts w:ascii="Palatino Linotype" w:hAnsi="Palatino Linotype"/>
          <w:b/>
          <w:i/>
          <w:color w:val="000000" w:themeColor="text1"/>
          <w:szCs w:val="24"/>
        </w:rPr>
        <w:t>resolver</w:t>
      </w:r>
      <w:r w:rsidRPr="00BD2FEB">
        <w:rPr>
          <w:rFonts w:ascii="Palatino Linotype" w:hAnsi="Palatino Linotype"/>
          <w:i/>
          <w:color w:val="000000" w:themeColor="text1"/>
          <w:szCs w:val="24"/>
        </w:rPr>
        <w:t xml:space="preserve"> sobre la información que deberá clasificarse</w:t>
      </w:r>
      <w:r w:rsidRPr="00BD2FEB">
        <w:rPr>
          <w:rFonts w:ascii="Palatino Linotype" w:hAnsi="Palatino Linotype"/>
          <w:b/>
          <w:i/>
          <w:color w:val="000000" w:themeColor="text1"/>
          <w:szCs w:val="24"/>
        </w:rPr>
        <w:t>, así como para atender y resolver los requerimientos de las Unidades de Transparencia y del Instituto</w:t>
      </w:r>
      <w:r w:rsidRPr="00BD2FEB">
        <w:rPr>
          <w:rFonts w:ascii="Palatino Linotype" w:hAnsi="Palatino Linotype"/>
          <w:i/>
          <w:color w:val="000000" w:themeColor="text1"/>
          <w:szCs w:val="24"/>
        </w:rPr>
        <w:t>;</w:t>
      </w:r>
      <w:r w:rsidR="00BD2FEB" w:rsidRPr="00BD2FEB">
        <w:rPr>
          <w:rFonts w:ascii="Palatino Linotype" w:hAnsi="Palatino Linotype"/>
          <w:i/>
          <w:color w:val="000000" w:themeColor="text1"/>
          <w:szCs w:val="24"/>
        </w:rPr>
        <w:t>”</w:t>
      </w:r>
    </w:p>
    <w:p w:rsidR="00A72E20" w:rsidRPr="00BD2FEB" w:rsidRDefault="00BD2FEB" w:rsidP="00BD2FEB">
      <w:pPr>
        <w:pStyle w:val="Prrafodelista"/>
        <w:spacing w:line="360" w:lineRule="auto"/>
        <w:ind w:left="851" w:right="616"/>
        <w:jc w:val="both"/>
        <w:rPr>
          <w:rFonts w:ascii="Palatino Linotype" w:hAnsi="Palatino Linotype"/>
          <w:i/>
          <w:color w:val="000000" w:themeColor="text1"/>
          <w:szCs w:val="24"/>
        </w:rPr>
      </w:pPr>
      <w:r w:rsidRPr="00BD2FEB">
        <w:rPr>
          <w:rFonts w:ascii="Palatino Linotype" w:hAnsi="Palatino Linotype"/>
          <w:i/>
          <w:color w:val="000000" w:themeColor="text1"/>
          <w:szCs w:val="24"/>
        </w:rPr>
        <w:t>(Énfasis añadido)</w:t>
      </w:r>
    </w:p>
    <w:p w:rsidR="00A72E20" w:rsidRPr="00BD2FEB" w:rsidRDefault="00A72E20" w:rsidP="00A72E20">
      <w:pPr>
        <w:pStyle w:val="Prrafodelista"/>
        <w:spacing w:line="360" w:lineRule="auto"/>
        <w:ind w:left="360"/>
        <w:jc w:val="both"/>
        <w:rPr>
          <w:rFonts w:ascii="Palatino Linotype" w:hAnsi="Palatino Linotype"/>
          <w:color w:val="000000" w:themeColor="text1"/>
          <w:sz w:val="24"/>
          <w:szCs w:val="24"/>
        </w:rPr>
      </w:pPr>
    </w:p>
    <w:p w:rsidR="000E72BE" w:rsidRPr="00BD2FEB" w:rsidRDefault="00010A7A" w:rsidP="00BD2FEB">
      <w:pPr>
        <w:pStyle w:val="Prrafodelista"/>
        <w:numPr>
          <w:ilvl w:val="0"/>
          <w:numId w:val="16"/>
        </w:numPr>
        <w:spacing w:line="360" w:lineRule="auto"/>
        <w:ind w:left="0" w:firstLine="0"/>
        <w:jc w:val="both"/>
        <w:rPr>
          <w:rFonts w:ascii="Palatino Linotype" w:hAnsi="Palatino Linotype"/>
          <w:color w:val="000000" w:themeColor="text1"/>
          <w:sz w:val="24"/>
          <w:szCs w:val="24"/>
        </w:rPr>
      </w:pPr>
      <w:r w:rsidRPr="00BD2FEB">
        <w:rPr>
          <w:rFonts w:ascii="Palatino Linotype" w:hAnsi="Palatino Linotype"/>
          <w:color w:val="000000" w:themeColor="text1"/>
          <w:sz w:val="24"/>
          <w:szCs w:val="24"/>
        </w:rPr>
        <w:t>Siguiendo el mismo contexto,</w:t>
      </w:r>
      <w:r w:rsidR="000E72BE" w:rsidRPr="00BD2FEB">
        <w:rPr>
          <w:rFonts w:ascii="Palatino Linotype" w:hAnsi="Palatino Linotype"/>
          <w:color w:val="000000" w:themeColor="text1"/>
          <w:sz w:val="24"/>
          <w:szCs w:val="24"/>
        </w:rPr>
        <w:t xml:space="preserve"> el artículo 49 de nuestro mismo ordenamiento jurídico establece lo siguiente:</w:t>
      </w:r>
    </w:p>
    <w:p w:rsidR="000E72BE" w:rsidRPr="00BD2FEB" w:rsidRDefault="000E72BE" w:rsidP="00BD2FEB">
      <w:pPr>
        <w:pStyle w:val="Prrafodelista"/>
        <w:jc w:val="both"/>
        <w:rPr>
          <w:rFonts w:ascii="Palatino Linotype" w:hAnsi="Palatino Linotype"/>
          <w:color w:val="000000" w:themeColor="text1"/>
          <w:sz w:val="24"/>
          <w:szCs w:val="24"/>
        </w:rPr>
      </w:pPr>
    </w:p>
    <w:p w:rsidR="000E72BE" w:rsidRPr="00BD2FEB" w:rsidRDefault="00BD2FEB" w:rsidP="00BD2FEB">
      <w:pPr>
        <w:pStyle w:val="Prrafodelista"/>
        <w:spacing w:line="360" w:lineRule="auto"/>
        <w:ind w:left="567" w:right="616"/>
        <w:jc w:val="both"/>
        <w:rPr>
          <w:rFonts w:ascii="Palatino Linotype" w:hAnsi="Palatino Linotype"/>
          <w:i/>
          <w:color w:val="000000" w:themeColor="text1"/>
        </w:rPr>
      </w:pPr>
      <w:r w:rsidRPr="00BD2FEB">
        <w:rPr>
          <w:rFonts w:ascii="Palatino Linotype" w:hAnsi="Palatino Linotype"/>
          <w:b/>
          <w:i/>
          <w:color w:val="000000" w:themeColor="text1"/>
        </w:rPr>
        <w:t>“</w:t>
      </w:r>
      <w:r w:rsidR="000E72BE" w:rsidRPr="00BD2FEB">
        <w:rPr>
          <w:rFonts w:ascii="Palatino Linotype" w:hAnsi="Palatino Linotype"/>
          <w:b/>
          <w:i/>
          <w:color w:val="000000" w:themeColor="text1"/>
        </w:rPr>
        <w:t>Artículo 49.</w:t>
      </w:r>
      <w:r w:rsidR="000E72BE" w:rsidRPr="00BD2FEB">
        <w:rPr>
          <w:rFonts w:ascii="Palatino Linotype" w:hAnsi="Palatino Linotype"/>
          <w:i/>
          <w:color w:val="000000" w:themeColor="text1"/>
        </w:rPr>
        <w:t xml:space="preserve"> Los Comités de Transparencia tendrán las siguientes atribuciones:</w:t>
      </w:r>
    </w:p>
    <w:p w:rsidR="00BD2FEB" w:rsidRPr="00BD2FEB" w:rsidRDefault="00BD2FEB" w:rsidP="00BD2FEB">
      <w:pPr>
        <w:pStyle w:val="Prrafodelista"/>
        <w:spacing w:line="360" w:lineRule="auto"/>
        <w:ind w:left="567" w:right="616"/>
        <w:jc w:val="both"/>
        <w:rPr>
          <w:rFonts w:ascii="Palatino Linotype" w:hAnsi="Palatino Linotype"/>
          <w:i/>
          <w:color w:val="000000" w:themeColor="text1"/>
        </w:rPr>
      </w:pPr>
    </w:p>
    <w:p w:rsidR="000E72BE" w:rsidRPr="00BD2FEB" w:rsidRDefault="00BD2FEB" w:rsidP="00BD2FEB">
      <w:pPr>
        <w:pStyle w:val="Prrafodelista"/>
        <w:spacing w:line="360" w:lineRule="auto"/>
        <w:ind w:left="567" w:right="616"/>
        <w:jc w:val="both"/>
        <w:rPr>
          <w:rFonts w:ascii="Palatino Linotype" w:hAnsi="Palatino Linotype"/>
          <w:i/>
          <w:color w:val="000000" w:themeColor="text1"/>
        </w:rPr>
      </w:pPr>
      <w:r w:rsidRPr="00BD2FEB">
        <w:rPr>
          <w:rFonts w:ascii="Palatino Linotype" w:hAnsi="Palatino Linotype"/>
          <w:b/>
          <w:i/>
          <w:color w:val="000000" w:themeColor="text1"/>
        </w:rPr>
        <w:t>I. Instituir, coordinar y supervisar en términos de las disposiciones aplicables, las acciones, medidas y procedimientos que coadyuven a asegurar una mayor eficacia en la gestión y atención de las solicitudes</w:t>
      </w:r>
      <w:r w:rsidRPr="00BD2FEB">
        <w:rPr>
          <w:rFonts w:ascii="Palatino Linotype" w:hAnsi="Palatino Linotype"/>
          <w:i/>
          <w:color w:val="000000" w:themeColor="text1"/>
        </w:rPr>
        <w:t xml:space="preserve"> en materia de acceso a la información;</w:t>
      </w:r>
    </w:p>
    <w:p w:rsidR="00BD2FEB" w:rsidRPr="00BD2FEB" w:rsidRDefault="00BD2FEB" w:rsidP="00BD2FEB">
      <w:pPr>
        <w:pStyle w:val="Prrafodelista"/>
        <w:spacing w:line="360" w:lineRule="auto"/>
        <w:ind w:left="567" w:right="616"/>
        <w:jc w:val="both"/>
        <w:rPr>
          <w:rFonts w:ascii="Palatino Linotype" w:hAnsi="Palatino Linotype"/>
          <w:color w:val="000000" w:themeColor="text1"/>
        </w:rPr>
      </w:pPr>
      <w:r w:rsidRPr="00BD2FEB">
        <w:rPr>
          <w:rFonts w:ascii="Palatino Linotype" w:hAnsi="Palatino Linotype"/>
          <w:color w:val="000000" w:themeColor="text1"/>
        </w:rPr>
        <w:t xml:space="preserve">…” </w:t>
      </w:r>
    </w:p>
    <w:p w:rsidR="000E72BE" w:rsidRPr="00BD2FEB" w:rsidRDefault="00010A7A" w:rsidP="00BD2FEB">
      <w:pPr>
        <w:pStyle w:val="Prrafodelista"/>
        <w:spacing w:line="360" w:lineRule="auto"/>
        <w:ind w:left="567" w:right="616"/>
        <w:jc w:val="both"/>
        <w:rPr>
          <w:rFonts w:ascii="Palatino Linotype" w:hAnsi="Palatino Linotype"/>
          <w:i/>
          <w:color w:val="000000" w:themeColor="text1"/>
        </w:rPr>
      </w:pPr>
      <w:r w:rsidRPr="00BD2FEB">
        <w:rPr>
          <w:rFonts w:ascii="Palatino Linotype" w:hAnsi="Palatino Linotype"/>
          <w:i/>
          <w:color w:val="000000" w:themeColor="text1"/>
        </w:rPr>
        <w:t>(Énfasis añadido)</w:t>
      </w:r>
    </w:p>
    <w:p w:rsidR="00BD2FEB" w:rsidRPr="00BD2FEB" w:rsidRDefault="00BD2FEB" w:rsidP="00BD2FEB">
      <w:pPr>
        <w:pStyle w:val="Prrafodelista"/>
        <w:spacing w:line="360" w:lineRule="auto"/>
        <w:ind w:left="567" w:right="616"/>
        <w:jc w:val="both"/>
        <w:rPr>
          <w:rFonts w:ascii="Palatino Linotype" w:hAnsi="Palatino Linotype"/>
          <w:i/>
          <w:color w:val="000000" w:themeColor="text1"/>
        </w:rPr>
      </w:pPr>
    </w:p>
    <w:p w:rsidR="00BD2FEB" w:rsidRDefault="00BD2FEB" w:rsidP="00BD2FEB">
      <w:pPr>
        <w:pStyle w:val="Prrafodelista"/>
        <w:numPr>
          <w:ilvl w:val="0"/>
          <w:numId w:val="16"/>
        </w:numPr>
        <w:spacing w:line="360" w:lineRule="auto"/>
        <w:ind w:left="0" w:firstLine="0"/>
        <w:jc w:val="both"/>
        <w:rPr>
          <w:rFonts w:ascii="Palatino Linotype" w:hAnsi="Palatino Linotype"/>
          <w:color w:val="000000" w:themeColor="text1"/>
          <w:sz w:val="24"/>
          <w:szCs w:val="24"/>
        </w:rPr>
      </w:pPr>
      <w:r w:rsidRPr="00BD2FEB">
        <w:rPr>
          <w:rFonts w:ascii="Palatino Linotype" w:hAnsi="Palatino Linotype"/>
          <w:color w:val="000000" w:themeColor="text1"/>
          <w:sz w:val="24"/>
          <w:szCs w:val="24"/>
        </w:rPr>
        <w:t xml:space="preserve">Señalado lo anterior es que se advierte la gran importancia del Comité </w:t>
      </w:r>
      <w:r w:rsidR="00610395">
        <w:rPr>
          <w:rFonts w:ascii="Palatino Linotype" w:hAnsi="Palatino Linotype"/>
          <w:color w:val="000000" w:themeColor="text1"/>
          <w:sz w:val="24"/>
          <w:szCs w:val="24"/>
        </w:rPr>
        <w:t>de Trans</w:t>
      </w:r>
      <w:r w:rsidRPr="00BD2FEB">
        <w:rPr>
          <w:rFonts w:ascii="Palatino Linotype" w:hAnsi="Palatino Linotype"/>
          <w:color w:val="000000" w:themeColor="text1"/>
          <w:sz w:val="24"/>
          <w:szCs w:val="24"/>
        </w:rPr>
        <w:t xml:space="preserve">parencia, como factor determinante para que en todo momento se garantice el </w:t>
      </w:r>
      <w:r w:rsidRPr="00BD2FEB">
        <w:rPr>
          <w:rFonts w:ascii="Palatino Linotype" w:hAnsi="Palatino Linotype"/>
          <w:color w:val="000000" w:themeColor="text1"/>
          <w:sz w:val="24"/>
          <w:szCs w:val="24"/>
        </w:rPr>
        <w:lastRenderedPageBreak/>
        <w:t>Derecho de Acceso a la Información Pública por lo que su integración</w:t>
      </w:r>
      <w:r>
        <w:rPr>
          <w:rFonts w:ascii="Palatino Linotype" w:hAnsi="Palatino Linotype"/>
          <w:color w:val="000000" w:themeColor="text1"/>
          <w:sz w:val="24"/>
          <w:szCs w:val="24"/>
        </w:rPr>
        <w:t xml:space="preserve"> de </w:t>
      </w:r>
      <w:r w:rsidRPr="00BD2FEB">
        <w:rPr>
          <w:rFonts w:ascii="Palatino Linotype" w:hAnsi="Palatino Linotype"/>
          <w:color w:val="000000" w:themeColor="text1"/>
          <w:sz w:val="24"/>
          <w:szCs w:val="24"/>
        </w:rPr>
        <w:t xml:space="preserve">conformidad con lo que refiere el artículo 45 de la ley de la materia debe ser la siguiente: </w:t>
      </w:r>
    </w:p>
    <w:p w:rsidR="00BD2FEB" w:rsidRPr="00BD2FEB" w:rsidRDefault="00BD2FEB" w:rsidP="00BD2FEB">
      <w:pPr>
        <w:pStyle w:val="Prrafodelista"/>
        <w:spacing w:line="360" w:lineRule="auto"/>
        <w:ind w:left="0"/>
        <w:jc w:val="both"/>
        <w:rPr>
          <w:rFonts w:ascii="Palatino Linotype" w:hAnsi="Palatino Linotype"/>
          <w:color w:val="000000" w:themeColor="text1"/>
          <w:szCs w:val="24"/>
        </w:rPr>
      </w:pPr>
    </w:p>
    <w:p w:rsidR="00BD2FEB" w:rsidRPr="00BD2FEB" w:rsidRDefault="00BD2FEB" w:rsidP="00BD2FEB">
      <w:pPr>
        <w:pStyle w:val="Prrafodelista"/>
        <w:spacing w:line="360" w:lineRule="auto"/>
        <w:ind w:left="851" w:right="616"/>
        <w:jc w:val="both"/>
        <w:rPr>
          <w:rFonts w:ascii="Palatino Linotype" w:hAnsi="Palatino Linotype"/>
          <w:i/>
          <w:color w:val="000000" w:themeColor="text1"/>
          <w:szCs w:val="24"/>
        </w:rPr>
      </w:pPr>
      <w:r w:rsidRPr="00BD2FEB">
        <w:rPr>
          <w:rFonts w:ascii="Palatino Linotype" w:hAnsi="Palatino Linotype"/>
          <w:i/>
          <w:color w:val="000000" w:themeColor="text1"/>
          <w:szCs w:val="24"/>
        </w:rPr>
        <w:t>“</w:t>
      </w:r>
      <w:r w:rsidRPr="00BD2FEB">
        <w:rPr>
          <w:rFonts w:ascii="Palatino Linotype" w:hAnsi="Palatino Linotype"/>
          <w:b/>
          <w:i/>
          <w:color w:val="000000" w:themeColor="text1"/>
          <w:szCs w:val="24"/>
        </w:rPr>
        <w:t>Artículo 45.</w:t>
      </w:r>
      <w:r w:rsidRPr="00BD2FEB">
        <w:rPr>
          <w:rFonts w:ascii="Palatino Linotype" w:hAnsi="Palatino Linotype"/>
          <w:i/>
          <w:color w:val="000000" w:themeColor="text1"/>
          <w:szCs w:val="24"/>
        </w:rPr>
        <w:t xml:space="preserve"> Cada sujeto obligado establecerá un Comité de Transparencia, colegiado e integrado por lo menos por tres miembros, debiendo de ser siempre un</w:t>
      </w:r>
      <w:bookmarkStart w:id="5" w:name="_GoBack"/>
      <w:bookmarkEnd w:id="5"/>
      <w:r w:rsidRPr="00BD2FEB">
        <w:rPr>
          <w:rFonts w:ascii="Palatino Linotype" w:hAnsi="Palatino Linotype"/>
          <w:i/>
          <w:color w:val="000000" w:themeColor="text1"/>
          <w:szCs w:val="24"/>
        </w:rPr>
        <w:t xml:space="preserve"> número impar. </w:t>
      </w:r>
    </w:p>
    <w:p w:rsidR="00BD2FEB" w:rsidRPr="00BD2FEB" w:rsidRDefault="00BD2FEB" w:rsidP="00BD2FEB">
      <w:pPr>
        <w:pStyle w:val="Prrafodelista"/>
        <w:spacing w:line="360" w:lineRule="auto"/>
        <w:ind w:left="851" w:right="616"/>
        <w:jc w:val="both"/>
        <w:rPr>
          <w:rFonts w:ascii="Palatino Linotype" w:hAnsi="Palatino Linotype"/>
          <w:i/>
          <w:color w:val="000000" w:themeColor="text1"/>
          <w:szCs w:val="24"/>
        </w:rPr>
      </w:pPr>
    </w:p>
    <w:p w:rsidR="00BD2FEB" w:rsidRDefault="00BD2FEB" w:rsidP="00BD2FEB">
      <w:pPr>
        <w:pStyle w:val="Prrafodelista"/>
        <w:spacing w:line="360" w:lineRule="auto"/>
        <w:ind w:left="851" w:right="616"/>
        <w:jc w:val="both"/>
        <w:rPr>
          <w:rFonts w:ascii="Palatino Linotype" w:hAnsi="Palatino Linotype"/>
          <w:b/>
          <w:i/>
          <w:color w:val="000000" w:themeColor="text1"/>
          <w:szCs w:val="24"/>
        </w:rPr>
      </w:pPr>
      <w:r w:rsidRPr="00BD2FEB">
        <w:rPr>
          <w:rFonts w:ascii="Palatino Linotype" w:hAnsi="Palatino Linotype"/>
          <w:i/>
          <w:color w:val="000000" w:themeColor="text1"/>
          <w:szCs w:val="24"/>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r w:rsidRPr="00BD2FEB">
        <w:rPr>
          <w:rFonts w:ascii="Palatino Linotype" w:hAnsi="Palatino Linotype"/>
          <w:b/>
          <w:i/>
          <w:color w:val="000000" w:themeColor="text1"/>
          <w:szCs w:val="24"/>
        </w:rPr>
        <w:t>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rsidR="00AA2E50" w:rsidRPr="00BD2FEB" w:rsidRDefault="00AA2E50" w:rsidP="00BD2FEB">
      <w:pPr>
        <w:pStyle w:val="Prrafodelista"/>
        <w:spacing w:line="360" w:lineRule="auto"/>
        <w:ind w:left="851" w:right="616"/>
        <w:jc w:val="both"/>
        <w:rPr>
          <w:rFonts w:ascii="Palatino Linotype" w:hAnsi="Palatino Linotype"/>
          <w:b/>
          <w:i/>
          <w:color w:val="000000" w:themeColor="text1"/>
          <w:szCs w:val="24"/>
        </w:rPr>
      </w:pPr>
      <w:r>
        <w:rPr>
          <w:rFonts w:ascii="Palatino Linotype" w:hAnsi="Palatino Linotype"/>
          <w:i/>
          <w:color w:val="000000" w:themeColor="text1"/>
          <w:szCs w:val="24"/>
        </w:rPr>
        <w:t>(Énfasis añadido)</w:t>
      </w:r>
    </w:p>
    <w:p w:rsidR="00BD2FEB" w:rsidRPr="00BD2FEB" w:rsidRDefault="00BD2FEB" w:rsidP="00BD2FEB">
      <w:pPr>
        <w:pStyle w:val="Prrafodelista"/>
        <w:spacing w:line="360" w:lineRule="auto"/>
        <w:ind w:left="360"/>
        <w:jc w:val="both"/>
        <w:rPr>
          <w:rFonts w:ascii="Palatino Linotype" w:hAnsi="Palatino Linotype"/>
          <w:b/>
          <w:color w:val="000000" w:themeColor="text1"/>
          <w:sz w:val="24"/>
          <w:szCs w:val="24"/>
        </w:rPr>
      </w:pPr>
    </w:p>
    <w:p w:rsidR="003D3B5C" w:rsidRDefault="00D62D08" w:rsidP="00BD2FEB">
      <w:pPr>
        <w:pStyle w:val="Prrafodelista"/>
        <w:numPr>
          <w:ilvl w:val="0"/>
          <w:numId w:val="16"/>
        </w:numPr>
        <w:spacing w:line="360" w:lineRule="auto"/>
        <w:ind w:left="0" w:right="49" w:firstLine="0"/>
        <w:jc w:val="both"/>
        <w:rPr>
          <w:rFonts w:ascii="Palatino Linotype" w:hAnsi="Palatino Linotype"/>
          <w:color w:val="000000" w:themeColor="text1"/>
          <w:sz w:val="24"/>
          <w:szCs w:val="24"/>
        </w:rPr>
      </w:pPr>
      <w:r w:rsidRPr="00BD2FEB">
        <w:rPr>
          <w:rFonts w:ascii="Palatino Linotype" w:hAnsi="Palatino Linotype"/>
          <w:color w:val="000000" w:themeColor="text1"/>
          <w:sz w:val="24"/>
          <w:szCs w:val="24"/>
        </w:rPr>
        <w:t>A p</w:t>
      </w:r>
      <w:r w:rsidR="00BD2FEB" w:rsidRPr="00BD2FEB">
        <w:rPr>
          <w:rFonts w:ascii="Palatino Linotype" w:hAnsi="Palatino Linotype"/>
          <w:color w:val="000000" w:themeColor="text1"/>
          <w:sz w:val="24"/>
          <w:szCs w:val="24"/>
        </w:rPr>
        <w:t xml:space="preserve">artir de esta interpretación, es </w:t>
      </w:r>
      <w:r w:rsidR="00BD2FEB">
        <w:rPr>
          <w:rFonts w:ascii="Palatino Linotype" w:hAnsi="Palatino Linotype"/>
          <w:color w:val="000000" w:themeColor="text1"/>
          <w:sz w:val="24"/>
          <w:szCs w:val="24"/>
        </w:rPr>
        <w:t xml:space="preserve">que advierto necesaria la </w:t>
      </w:r>
      <w:r w:rsidR="00BD2FEB" w:rsidRPr="00BD2FEB">
        <w:rPr>
          <w:rFonts w:ascii="Palatino Linotype" w:hAnsi="Palatino Linotype"/>
          <w:color w:val="000000" w:themeColor="text1"/>
          <w:sz w:val="24"/>
          <w:szCs w:val="24"/>
        </w:rPr>
        <w:t>adecuada integración del Comité de Tra</w:t>
      </w:r>
      <w:r w:rsidR="00610395">
        <w:rPr>
          <w:rFonts w:ascii="Palatino Linotype" w:hAnsi="Palatino Linotype"/>
          <w:color w:val="000000" w:themeColor="text1"/>
          <w:sz w:val="24"/>
          <w:szCs w:val="24"/>
        </w:rPr>
        <w:t>n</w:t>
      </w:r>
      <w:r w:rsidR="00BD2FEB" w:rsidRPr="00BD2FEB">
        <w:rPr>
          <w:rFonts w:ascii="Palatino Linotype" w:hAnsi="Palatino Linotype"/>
          <w:color w:val="000000" w:themeColor="text1"/>
          <w:sz w:val="24"/>
          <w:szCs w:val="24"/>
        </w:rPr>
        <w:t>sparencia, al ser el área específicamente</w:t>
      </w:r>
      <w:r w:rsidR="00BD2FEB">
        <w:rPr>
          <w:rFonts w:ascii="Palatino Linotype" w:hAnsi="Palatino Linotype"/>
          <w:color w:val="000000" w:themeColor="text1"/>
          <w:sz w:val="24"/>
          <w:szCs w:val="24"/>
        </w:rPr>
        <w:t xml:space="preserve"> encargada de </w:t>
      </w:r>
      <w:r w:rsidR="00BD2FEB" w:rsidRPr="00BD2FEB">
        <w:rPr>
          <w:rFonts w:ascii="Palatino Linotype" w:hAnsi="Palatino Linotype"/>
          <w:color w:val="000000" w:themeColor="text1"/>
          <w:sz w:val="24"/>
          <w:szCs w:val="24"/>
        </w:rPr>
        <w:t xml:space="preserve">llevar a cabo las acciones, mediadas y procedimientos para asegurar una mayor eficacia en la gestión y atención de las solicitudes en </w:t>
      </w:r>
      <w:r w:rsidR="00BD2FEB">
        <w:rPr>
          <w:rFonts w:ascii="Palatino Linotype" w:hAnsi="Palatino Linotype"/>
          <w:color w:val="000000" w:themeColor="text1"/>
          <w:sz w:val="24"/>
          <w:szCs w:val="24"/>
        </w:rPr>
        <w:t xml:space="preserve">materia </w:t>
      </w:r>
      <w:r w:rsidR="00BD2FEB" w:rsidRPr="00BD2FEB">
        <w:rPr>
          <w:rFonts w:ascii="Palatino Linotype" w:hAnsi="Palatino Linotype"/>
          <w:color w:val="000000" w:themeColor="text1"/>
          <w:sz w:val="24"/>
          <w:szCs w:val="24"/>
        </w:rPr>
        <w:t>de acceso a la informaci</w:t>
      </w:r>
      <w:r w:rsidR="00AA2E50">
        <w:rPr>
          <w:rFonts w:ascii="Palatino Linotype" w:hAnsi="Palatino Linotype"/>
          <w:color w:val="000000" w:themeColor="text1"/>
          <w:sz w:val="24"/>
          <w:szCs w:val="24"/>
        </w:rPr>
        <w:t xml:space="preserve">ón y en consecuencia privilegiar el Derecho de Acceso a la Información Pública. </w:t>
      </w:r>
    </w:p>
    <w:p w:rsidR="00BD2FEB" w:rsidRPr="00BD2FEB" w:rsidRDefault="00BD2FEB" w:rsidP="00BD2FEB">
      <w:pPr>
        <w:pStyle w:val="Prrafodelista"/>
        <w:spacing w:line="360" w:lineRule="auto"/>
        <w:ind w:left="0" w:right="49"/>
        <w:jc w:val="both"/>
        <w:rPr>
          <w:rFonts w:ascii="Palatino Linotype" w:hAnsi="Palatino Linotype"/>
          <w:color w:val="000000" w:themeColor="text1"/>
          <w:sz w:val="24"/>
          <w:szCs w:val="24"/>
        </w:rPr>
      </w:pPr>
    </w:p>
    <w:p w:rsidR="00BD2FEB" w:rsidRDefault="00BD2FEB" w:rsidP="00BD2FEB">
      <w:pPr>
        <w:pStyle w:val="Ttulo1"/>
        <w:numPr>
          <w:ilvl w:val="0"/>
          <w:numId w:val="19"/>
        </w:numPr>
        <w:rPr>
          <w:rFonts w:ascii="Palatino Linotype" w:hAnsi="Palatino Linotype"/>
          <w:b/>
          <w:color w:val="000000" w:themeColor="text1"/>
          <w:sz w:val="24"/>
          <w:szCs w:val="24"/>
        </w:rPr>
      </w:pPr>
      <w:bookmarkStart w:id="6" w:name="_Toc1391446"/>
      <w:r w:rsidRPr="00BD2FEB">
        <w:rPr>
          <w:rFonts w:ascii="Palatino Linotype" w:hAnsi="Palatino Linotype"/>
          <w:b/>
          <w:color w:val="000000" w:themeColor="text1"/>
          <w:sz w:val="24"/>
          <w:szCs w:val="24"/>
        </w:rPr>
        <w:t>Conclusi</w:t>
      </w:r>
      <w:r>
        <w:rPr>
          <w:rFonts w:ascii="Palatino Linotype" w:hAnsi="Palatino Linotype"/>
          <w:b/>
          <w:color w:val="000000" w:themeColor="text1"/>
          <w:sz w:val="24"/>
          <w:szCs w:val="24"/>
        </w:rPr>
        <w:t>ón.</w:t>
      </w:r>
      <w:bookmarkEnd w:id="6"/>
    </w:p>
    <w:p w:rsidR="00BD2FEB" w:rsidRPr="00BD2FEB" w:rsidRDefault="00BD2FEB" w:rsidP="00BD2FEB"/>
    <w:p w:rsidR="005157E8" w:rsidRPr="00BD2FEB" w:rsidRDefault="00BD2FEB" w:rsidP="00D31E87">
      <w:pPr>
        <w:pStyle w:val="Prrafodelista"/>
        <w:numPr>
          <w:ilvl w:val="0"/>
          <w:numId w:val="16"/>
        </w:numPr>
        <w:spacing w:line="360" w:lineRule="auto"/>
        <w:ind w:left="0" w:firstLine="0"/>
        <w:jc w:val="both"/>
        <w:rPr>
          <w:rFonts w:ascii="Palatino Linotype" w:hAnsi="Palatino Linotype"/>
          <w:color w:val="000000" w:themeColor="text1"/>
          <w:sz w:val="24"/>
          <w:szCs w:val="24"/>
        </w:rPr>
      </w:pPr>
      <w:r>
        <w:rPr>
          <w:rFonts w:ascii="Palatino Linotype" w:hAnsi="Palatino Linotype"/>
          <w:sz w:val="24"/>
        </w:rPr>
        <w:t>Por lo mencionado anteriormente, considero que la inadecuada integración del Comité</w:t>
      </w:r>
      <w:r w:rsidR="00610395">
        <w:rPr>
          <w:rFonts w:ascii="Palatino Linotype" w:hAnsi="Palatino Linotype"/>
          <w:sz w:val="24"/>
        </w:rPr>
        <w:t xml:space="preserve"> de Trans</w:t>
      </w:r>
      <w:r>
        <w:rPr>
          <w:rFonts w:ascii="Palatino Linotype" w:hAnsi="Palatino Linotype"/>
          <w:sz w:val="24"/>
        </w:rPr>
        <w:t xml:space="preserve">parencia, provoca una afectación al derecho de los particulares, en ese sentido, es necesario instrumentar todas las actuaciones tendientes para mantenerlo debidamente constituido y operante. </w:t>
      </w:r>
    </w:p>
    <w:p w:rsidR="00BD2FEB" w:rsidRPr="00BD2FEB" w:rsidRDefault="00BD2FEB" w:rsidP="00BD2FEB">
      <w:pPr>
        <w:pStyle w:val="Prrafodelista"/>
        <w:spacing w:line="360" w:lineRule="auto"/>
        <w:ind w:left="0"/>
        <w:jc w:val="both"/>
        <w:rPr>
          <w:rFonts w:ascii="Palatino Linotype" w:hAnsi="Palatino Linotype"/>
          <w:color w:val="000000" w:themeColor="text1"/>
          <w:sz w:val="24"/>
          <w:szCs w:val="24"/>
        </w:rPr>
      </w:pPr>
    </w:p>
    <w:p w:rsidR="00D31E87" w:rsidRPr="00BD2FEB" w:rsidRDefault="00D31E87" w:rsidP="00D31E87">
      <w:pPr>
        <w:pStyle w:val="Prrafodelista"/>
        <w:spacing w:line="360" w:lineRule="auto"/>
        <w:ind w:left="0"/>
        <w:jc w:val="center"/>
        <w:rPr>
          <w:rFonts w:ascii="Palatino Linotype" w:eastAsia="Calibri" w:hAnsi="Palatino Linotype" w:cs="Arial"/>
          <w:b/>
          <w:color w:val="000000" w:themeColor="text1"/>
          <w:sz w:val="24"/>
          <w:szCs w:val="24"/>
        </w:rPr>
      </w:pPr>
      <w:r w:rsidRPr="00BD2FEB">
        <w:rPr>
          <w:rFonts w:ascii="Palatino Linotype" w:eastAsia="Calibri" w:hAnsi="Palatino Linotype" w:cs="Arial"/>
          <w:b/>
          <w:color w:val="000000" w:themeColor="text1"/>
          <w:sz w:val="24"/>
          <w:szCs w:val="24"/>
        </w:rPr>
        <w:t>JOSÉ GUADALUPE LUNA HERNÁNDEZ</w:t>
      </w:r>
    </w:p>
    <w:p w:rsidR="00D31E87" w:rsidRDefault="00D31E87" w:rsidP="00D75A73">
      <w:pPr>
        <w:pStyle w:val="Prrafodelista"/>
        <w:spacing w:line="360" w:lineRule="auto"/>
        <w:ind w:left="0"/>
        <w:jc w:val="center"/>
        <w:rPr>
          <w:rFonts w:ascii="Palatino Linotype" w:eastAsia="Calibri" w:hAnsi="Palatino Linotype" w:cs="Arial"/>
          <w:b/>
          <w:color w:val="000000" w:themeColor="text1"/>
          <w:sz w:val="24"/>
          <w:szCs w:val="24"/>
        </w:rPr>
      </w:pPr>
      <w:r w:rsidRPr="00BD2FEB">
        <w:rPr>
          <w:rFonts w:ascii="Palatino Linotype" w:eastAsia="Calibri" w:hAnsi="Palatino Linotype" w:cs="Arial"/>
          <w:b/>
          <w:color w:val="000000" w:themeColor="text1"/>
          <w:sz w:val="24"/>
          <w:szCs w:val="24"/>
        </w:rPr>
        <w:t>COMISIONADO</w:t>
      </w:r>
    </w:p>
    <w:p w:rsidR="00BD2FEB" w:rsidRPr="00BD2FEB" w:rsidRDefault="00BD2FEB" w:rsidP="00D75A73">
      <w:pPr>
        <w:pStyle w:val="Prrafodelista"/>
        <w:spacing w:line="360" w:lineRule="auto"/>
        <w:ind w:left="0"/>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 xml:space="preserve">(RÚBRICA) </w:t>
      </w:r>
    </w:p>
    <w:p w:rsidR="003D3B5C" w:rsidRPr="00BD2FEB" w:rsidRDefault="003D3B5C" w:rsidP="00D75A73">
      <w:pPr>
        <w:pStyle w:val="Prrafodelista"/>
        <w:spacing w:line="360" w:lineRule="auto"/>
        <w:ind w:left="0"/>
        <w:jc w:val="center"/>
        <w:rPr>
          <w:rFonts w:ascii="Palatino Linotype" w:hAnsi="Palatino Linotype" w:cs="Arial"/>
          <w:b/>
          <w:color w:val="000000" w:themeColor="text1"/>
          <w:sz w:val="24"/>
          <w:szCs w:val="24"/>
        </w:rPr>
      </w:pPr>
    </w:p>
    <w:p w:rsidR="005157E8" w:rsidRPr="00BD2FEB" w:rsidRDefault="005157E8" w:rsidP="00D75A73">
      <w:pPr>
        <w:pStyle w:val="Prrafodelista"/>
        <w:spacing w:line="360" w:lineRule="auto"/>
        <w:ind w:left="0"/>
        <w:jc w:val="center"/>
        <w:rPr>
          <w:rFonts w:ascii="Palatino Linotype" w:hAnsi="Palatino Linotype" w:cs="Arial"/>
          <w:b/>
          <w:color w:val="000000" w:themeColor="text1"/>
          <w:sz w:val="24"/>
          <w:szCs w:val="24"/>
        </w:rPr>
      </w:pPr>
    </w:p>
    <w:p w:rsidR="005157E8" w:rsidRPr="00BD2FEB" w:rsidRDefault="005157E8" w:rsidP="00D75A73">
      <w:pPr>
        <w:pStyle w:val="Prrafodelista"/>
        <w:spacing w:line="360" w:lineRule="auto"/>
        <w:ind w:left="0"/>
        <w:jc w:val="center"/>
        <w:rPr>
          <w:rFonts w:ascii="Palatino Linotype" w:eastAsia="Calibri" w:hAnsi="Palatino Linotype" w:cs="Arial"/>
          <w:b/>
          <w:color w:val="000000" w:themeColor="text1"/>
          <w:sz w:val="24"/>
          <w:szCs w:val="24"/>
        </w:rPr>
      </w:pPr>
    </w:p>
    <w:p w:rsidR="00D75A73" w:rsidRPr="00BD2FEB" w:rsidRDefault="00BD2FEB" w:rsidP="00BD2FEB">
      <w:pPr>
        <w:pStyle w:val="Prrafodelista"/>
        <w:spacing w:line="360" w:lineRule="auto"/>
        <w:ind w:left="0"/>
        <w:jc w:val="right"/>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JGLH/MPBR</w:t>
      </w:r>
    </w:p>
    <w:sectPr w:rsidR="00D75A73" w:rsidRPr="00BD2FEB" w:rsidSect="00BD2FEB">
      <w:headerReference w:type="even" r:id="rId9"/>
      <w:headerReference w:type="default" r:id="rId10"/>
      <w:footerReference w:type="even" r:id="rId11"/>
      <w:footerReference w:type="default" r:id="rId12"/>
      <w:headerReference w:type="first" r:id="rId13"/>
      <w:footerReference w:type="first" r:id="rId14"/>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0F4" w:rsidRDefault="00D620F4" w:rsidP="00DC559A">
      <w:pPr>
        <w:spacing w:after="0" w:line="240" w:lineRule="auto"/>
      </w:pPr>
      <w:r>
        <w:separator/>
      </w:r>
    </w:p>
  </w:endnote>
  <w:endnote w:type="continuationSeparator" w:id="0">
    <w:p w:rsidR="00D620F4" w:rsidRDefault="00D620F4"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EB" w:rsidRDefault="00BD2F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rPr>
      <w:id w:val="32855158"/>
      <w:docPartObj>
        <w:docPartGallery w:val="Page Numbers (Bottom of Page)"/>
        <w:docPartUnique/>
      </w:docPartObj>
    </w:sdtPr>
    <w:sdtEndPr>
      <w:rPr>
        <w:rFonts w:asciiTheme="minorHAnsi" w:hAnsiTheme="minorHAnsi"/>
        <w:sz w:val="22"/>
      </w:rPr>
    </w:sdtEndPr>
    <w:sdtContent>
      <w:sdt>
        <w:sdtPr>
          <w:rPr>
            <w:rFonts w:ascii="Palatino Linotype" w:hAnsi="Palatino Linotype"/>
            <w:sz w:val="20"/>
          </w:rPr>
          <w:id w:val="-1769616900"/>
          <w:docPartObj>
            <w:docPartGallery w:val="Page Numbers (Top of Page)"/>
            <w:docPartUnique/>
          </w:docPartObj>
        </w:sdtPr>
        <w:sdtEndPr>
          <w:rPr>
            <w:rFonts w:asciiTheme="minorHAnsi" w:hAnsiTheme="minorHAnsi"/>
            <w:sz w:val="22"/>
          </w:rPr>
        </w:sdtEndPr>
        <w:sdtContent>
          <w:p w:rsidR="00D62D08" w:rsidRDefault="00D62D08">
            <w:pPr>
              <w:pStyle w:val="Piedepgina"/>
              <w:jc w:val="right"/>
            </w:pPr>
            <w:r w:rsidRPr="007428B3">
              <w:rPr>
                <w:rFonts w:ascii="Palatino Linotype" w:hAnsi="Palatino Linotype"/>
                <w:sz w:val="20"/>
                <w:lang w:val="es-ES"/>
              </w:rPr>
              <w:t xml:space="preserve">Página </w:t>
            </w:r>
            <w:r w:rsidRPr="007428B3">
              <w:rPr>
                <w:rFonts w:ascii="Palatino Linotype" w:hAnsi="Palatino Linotype"/>
                <w:b/>
                <w:bCs/>
                <w:szCs w:val="24"/>
              </w:rPr>
              <w:fldChar w:fldCharType="begin"/>
            </w:r>
            <w:r w:rsidRPr="007428B3">
              <w:rPr>
                <w:rFonts w:ascii="Palatino Linotype" w:hAnsi="Palatino Linotype"/>
                <w:b/>
                <w:bCs/>
                <w:sz w:val="20"/>
              </w:rPr>
              <w:instrText>PAGE</w:instrText>
            </w:r>
            <w:r w:rsidRPr="007428B3">
              <w:rPr>
                <w:rFonts w:ascii="Palatino Linotype" w:hAnsi="Palatino Linotype"/>
                <w:b/>
                <w:bCs/>
                <w:szCs w:val="24"/>
              </w:rPr>
              <w:fldChar w:fldCharType="separate"/>
            </w:r>
            <w:r w:rsidR="000E0F0B">
              <w:rPr>
                <w:rFonts w:ascii="Palatino Linotype" w:hAnsi="Palatino Linotype"/>
                <w:b/>
                <w:bCs/>
                <w:noProof/>
                <w:sz w:val="20"/>
              </w:rPr>
              <w:t>13</w:t>
            </w:r>
            <w:r w:rsidRPr="007428B3">
              <w:rPr>
                <w:rFonts w:ascii="Palatino Linotype" w:hAnsi="Palatino Linotype"/>
                <w:b/>
                <w:bCs/>
                <w:szCs w:val="24"/>
              </w:rPr>
              <w:fldChar w:fldCharType="end"/>
            </w:r>
            <w:r w:rsidRPr="007428B3">
              <w:rPr>
                <w:rFonts w:ascii="Palatino Linotype" w:hAnsi="Palatino Linotype"/>
                <w:sz w:val="20"/>
                <w:lang w:val="es-ES"/>
              </w:rPr>
              <w:t xml:space="preserve"> de </w:t>
            </w:r>
            <w:r w:rsidRPr="007428B3">
              <w:rPr>
                <w:rFonts w:ascii="Palatino Linotype" w:hAnsi="Palatino Linotype"/>
                <w:b/>
                <w:bCs/>
                <w:szCs w:val="24"/>
              </w:rPr>
              <w:fldChar w:fldCharType="begin"/>
            </w:r>
            <w:r w:rsidRPr="007428B3">
              <w:rPr>
                <w:rFonts w:ascii="Palatino Linotype" w:hAnsi="Palatino Linotype"/>
                <w:b/>
                <w:bCs/>
                <w:sz w:val="20"/>
              </w:rPr>
              <w:instrText>NUMPAGES</w:instrText>
            </w:r>
            <w:r w:rsidRPr="007428B3">
              <w:rPr>
                <w:rFonts w:ascii="Palatino Linotype" w:hAnsi="Palatino Linotype"/>
                <w:b/>
                <w:bCs/>
                <w:szCs w:val="24"/>
              </w:rPr>
              <w:fldChar w:fldCharType="separate"/>
            </w:r>
            <w:r w:rsidR="000E0F0B">
              <w:rPr>
                <w:rFonts w:ascii="Palatino Linotype" w:hAnsi="Palatino Linotype"/>
                <w:b/>
                <w:bCs/>
                <w:noProof/>
                <w:sz w:val="20"/>
              </w:rPr>
              <w:t>13</w:t>
            </w:r>
            <w:r w:rsidRPr="007428B3">
              <w:rPr>
                <w:rFonts w:ascii="Palatino Linotype" w:hAnsi="Palatino Linotype"/>
                <w:b/>
                <w:bCs/>
                <w:szCs w:val="24"/>
              </w:rPr>
              <w:fldChar w:fldCharType="end"/>
            </w:r>
          </w:p>
        </w:sdtContent>
      </w:sdt>
    </w:sdtContent>
  </w:sdt>
  <w:p w:rsidR="00D62D08" w:rsidRDefault="00D62D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EB" w:rsidRDefault="00BD2F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0F4" w:rsidRDefault="00D620F4" w:rsidP="00DC559A">
      <w:pPr>
        <w:spacing w:after="0" w:line="240" w:lineRule="auto"/>
      </w:pPr>
      <w:r>
        <w:separator/>
      </w:r>
    </w:p>
  </w:footnote>
  <w:footnote w:type="continuationSeparator" w:id="0">
    <w:p w:rsidR="00D620F4" w:rsidRDefault="00D620F4"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E0F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74516"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E0F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74517" o:spid="_x0000_s2050" type="#_x0000_t136" style="position:absolute;margin-left:0;margin-top:0;width:557.4pt;height:65.55pt;rotation:315;z-index:-251658240;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D62D08" w:rsidRPr="007428B3" w:rsidRDefault="00D62D08">
    <w:pPr>
      <w:pStyle w:val="Encabezado"/>
      <w:rPr>
        <w:rFonts w:ascii="Palatino Linotype" w:hAnsi="Palatino Linotype"/>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0E0F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74515"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9C5D00"/>
    <w:multiLevelType w:val="hybridMultilevel"/>
    <w:tmpl w:val="111EFD6E"/>
    <w:lvl w:ilvl="0" w:tplc="4370AA74">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1449CC"/>
    <w:multiLevelType w:val="hybridMultilevel"/>
    <w:tmpl w:val="994A13C6"/>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725E60"/>
    <w:multiLevelType w:val="hybridMultilevel"/>
    <w:tmpl w:val="C7C8FB3C"/>
    <w:lvl w:ilvl="0" w:tplc="F9E09338">
      <w:start w:val="3"/>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CF65299"/>
    <w:multiLevelType w:val="hybridMultilevel"/>
    <w:tmpl w:val="F2621F36"/>
    <w:lvl w:ilvl="0" w:tplc="2FCAD482">
      <w:start w:val="3"/>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C41196"/>
    <w:multiLevelType w:val="hybridMultilevel"/>
    <w:tmpl w:val="989E54C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E1803D3"/>
    <w:multiLevelType w:val="hybridMultilevel"/>
    <w:tmpl w:val="EB4AFD7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17F5A25"/>
    <w:multiLevelType w:val="hybridMultilevel"/>
    <w:tmpl w:val="1EA02BE6"/>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346C9F"/>
    <w:multiLevelType w:val="hybridMultilevel"/>
    <w:tmpl w:val="D54A2CE0"/>
    <w:lvl w:ilvl="0" w:tplc="EB862438">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C2E003D"/>
    <w:multiLevelType w:val="hybridMultilevel"/>
    <w:tmpl w:val="91F2552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3902F4"/>
    <w:multiLevelType w:val="hybridMultilevel"/>
    <w:tmpl w:val="D5EC640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450952"/>
    <w:multiLevelType w:val="hybridMultilevel"/>
    <w:tmpl w:val="6186A84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0B24AB"/>
    <w:multiLevelType w:val="hybridMultilevel"/>
    <w:tmpl w:val="BBC27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0B63E3"/>
    <w:multiLevelType w:val="hybridMultilevel"/>
    <w:tmpl w:val="16BC7E34"/>
    <w:lvl w:ilvl="0" w:tplc="24426522">
      <w:start w:val="2"/>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E06C18"/>
    <w:multiLevelType w:val="hybridMultilevel"/>
    <w:tmpl w:val="49FCC78E"/>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0627C4"/>
    <w:multiLevelType w:val="hybridMultilevel"/>
    <w:tmpl w:val="66901C56"/>
    <w:lvl w:ilvl="0" w:tplc="F88A6CC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D916E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
  </w:num>
  <w:num w:numId="3">
    <w:abstractNumId w:val="25"/>
  </w:num>
  <w:num w:numId="4">
    <w:abstractNumId w:val="14"/>
  </w:num>
  <w:num w:numId="5">
    <w:abstractNumId w:val="34"/>
  </w:num>
  <w:num w:numId="6">
    <w:abstractNumId w:val="15"/>
  </w:num>
  <w:num w:numId="7">
    <w:abstractNumId w:val="31"/>
  </w:num>
  <w:num w:numId="8">
    <w:abstractNumId w:val="18"/>
  </w:num>
  <w:num w:numId="9">
    <w:abstractNumId w:val="11"/>
  </w:num>
  <w:num w:numId="10">
    <w:abstractNumId w:val="28"/>
  </w:num>
  <w:num w:numId="11">
    <w:abstractNumId w:val="24"/>
  </w:num>
  <w:num w:numId="12">
    <w:abstractNumId w:val="27"/>
  </w:num>
  <w:num w:numId="13">
    <w:abstractNumId w:val="20"/>
  </w:num>
  <w:num w:numId="14">
    <w:abstractNumId w:val="4"/>
  </w:num>
  <w:num w:numId="15">
    <w:abstractNumId w:val="10"/>
  </w:num>
  <w:num w:numId="16">
    <w:abstractNumId w:val="35"/>
  </w:num>
  <w:num w:numId="17">
    <w:abstractNumId w:val="39"/>
  </w:num>
  <w:num w:numId="18">
    <w:abstractNumId w:val="26"/>
  </w:num>
  <w:num w:numId="19">
    <w:abstractNumId w:val="23"/>
  </w:num>
  <w:num w:numId="20">
    <w:abstractNumId w:val="17"/>
  </w:num>
  <w:num w:numId="21">
    <w:abstractNumId w:val="9"/>
  </w:num>
  <w:num w:numId="22">
    <w:abstractNumId w:val="12"/>
  </w:num>
  <w:num w:numId="23">
    <w:abstractNumId w:val="8"/>
  </w:num>
  <w:num w:numId="24">
    <w:abstractNumId w:val="36"/>
  </w:num>
  <w:num w:numId="25">
    <w:abstractNumId w:val="0"/>
  </w:num>
  <w:num w:numId="26">
    <w:abstractNumId w:val="30"/>
  </w:num>
  <w:num w:numId="27">
    <w:abstractNumId w:val="16"/>
  </w:num>
  <w:num w:numId="28">
    <w:abstractNumId w:val="7"/>
  </w:num>
  <w:num w:numId="29">
    <w:abstractNumId w:val="19"/>
  </w:num>
  <w:num w:numId="30">
    <w:abstractNumId w:val="32"/>
  </w:num>
  <w:num w:numId="31">
    <w:abstractNumId w:val="5"/>
  </w:num>
  <w:num w:numId="32">
    <w:abstractNumId w:val="40"/>
  </w:num>
  <w:num w:numId="33">
    <w:abstractNumId w:val="29"/>
  </w:num>
  <w:num w:numId="34">
    <w:abstractNumId w:val="22"/>
  </w:num>
  <w:num w:numId="35">
    <w:abstractNumId w:val="13"/>
  </w:num>
  <w:num w:numId="36">
    <w:abstractNumId w:val="3"/>
  </w:num>
  <w:num w:numId="37">
    <w:abstractNumId w:val="33"/>
  </w:num>
  <w:num w:numId="38">
    <w:abstractNumId w:val="6"/>
  </w:num>
  <w:num w:numId="39">
    <w:abstractNumId w:val="37"/>
  </w:num>
  <w:num w:numId="40">
    <w:abstractNumId w:val="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10A7A"/>
    <w:rsid w:val="00026199"/>
    <w:rsid w:val="0002684D"/>
    <w:rsid w:val="000538F8"/>
    <w:rsid w:val="00091370"/>
    <w:rsid w:val="000C4F36"/>
    <w:rsid w:val="000E0F0B"/>
    <w:rsid w:val="000E72BE"/>
    <w:rsid w:val="000F1029"/>
    <w:rsid w:val="000F4071"/>
    <w:rsid w:val="00137177"/>
    <w:rsid w:val="00142D5E"/>
    <w:rsid w:val="00196806"/>
    <w:rsid w:val="001C572F"/>
    <w:rsid w:val="001D585E"/>
    <w:rsid w:val="001F22E8"/>
    <w:rsid w:val="00216608"/>
    <w:rsid w:val="00294356"/>
    <w:rsid w:val="002948E5"/>
    <w:rsid w:val="002B5171"/>
    <w:rsid w:val="002E53BC"/>
    <w:rsid w:val="002F4E20"/>
    <w:rsid w:val="00321D82"/>
    <w:rsid w:val="0032572C"/>
    <w:rsid w:val="003319F8"/>
    <w:rsid w:val="0034151E"/>
    <w:rsid w:val="00345562"/>
    <w:rsid w:val="0035555A"/>
    <w:rsid w:val="003720E0"/>
    <w:rsid w:val="0038702C"/>
    <w:rsid w:val="003D3B5C"/>
    <w:rsid w:val="003D62CE"/>
    <w:rsid w:val="003F1C1E"/>
    <w:rsid w:val="004366D0"/>
    <w:rsid w:val="004A69D6"/>
    <w:rsid w:val="004C224A"/>
    <w:rsid w:val="004C73FB"/>
    <w:rsid w:val="005157E8"/>
    <w:rsid w:val="00585BED"/>
    <w:rsid w:val="005B563A"/>
    <w:rsid w:val="005F738A"/>
    <w:rsid w:val="00610395"/>
    <w:rsid w:val="00610DE4"/>
    <w:rsid w:val="00613628"/>
    <w:rsid w:val="00616AE9"/>
    <w:rsid w:val="006E7A8B"/>
    <w:rsid w:val="007040A4"/>
    <w:rsid w:val="007428B3"/>
    <w:rsid w:val="00752D72"/>
    <w:rsid w:val="007568D4"/>
    <w:rsid w:val="00774B2D"/>
    <w:rsid w:val="007771A5"/>
    <w:rsid w:val="007D5A9C"/>
    <w:rsid w:val="007E2587"/>
    <w:rsid w:val="007F104B"/>
    <w:rsid w:val="00812CE6"/>
    <w:rsid w:val="00836F58"/>
    <w:rsid w:val="00846DEB"/>
    <w:rsid w:val="00852A70"/>
    <w:rsid w:val="00892C1A"/>
    <w:rsid w:val="00934600"/>
    <w:rsid w:val="00942A1D"/>
    <w:rsid w:val="00964B55"/>
    <w:rsid w:val="00976E4F"/>
    <w:rsid w:val="00992F9E"/>
    <w:rsid w:val="009A28D2"/>
    <w:rsid w:val="009B6AAE"/>
    <w:rsid w:val="009D37EA"/>
    <w:rsid w:val="00A11153"/>
    <w:rsid w:val="00A23FC2"/>
    <w:rsid w:val="00A4060C"/>
    <w:rsid w:val="00A44948"/>
    <w:rsid w:val="00A50DC3"/>
    <w:rsid w:val="00A60107"/>
    <w:rsid w:val="00A72E20"/>
    <w:rsid w:val="00A947EF"/>
    <w:rsid w:val="00AA2E50"/>
    <w:rsid w:val="00AA3039"/>
    <w:rsid w:val="00AA45BE"/>
    <w:rsid w:val="00AB4CBD"/>
    <w:rsid w:val="00AC07BB"/>
    <w:rsid w:val="00AD4277"/>
    <w:rsid w:val="00AF28B3"/>
    <w:rsid w:val="00B06B5C"/>
    <w:rsid w:val="00B43601"/>
    <w:rsid w:val="00B648EF"/>
    <w:rsid w:val="00B72BF7"/>
    <w:rsid w:val="00B9066B"/>
    <w:rsid w:val="00BC5FB0"/>
    <w:rsid w:val="00BD2FEB"/>
    <w:rsid w:val="00BD4B87"/>
    <w:rsid w:val="00BD586B"/>
    <w:rsid w:val="00BE421D"/>
    <w:rsid w:val="00C230CB"/>
    <w:rsid w:val="00C7598C"/>
    <w:rsid w:val="00CD5D3B"/>
    <w:rsid w:val="00CD77B9"/>
    <w:rsid w:val="00CF241A"/>
    <w:rsid w:val="00D12E53"/>
    <w:rsid w:val="00D312E7"/>
    <w:rsid w:val="00D31E87"/>
    <w:rsid w:val="00D4328A"/>
    <w:rsid w:val="00D620F4"/>
    <w:rsid w:val="00D62D08"/>
    <w:rsid w:val="00D636BE"/>
    <w:rsid w:val="00D7491C"/>
    <w:rsid w:val="00D75A73"/>
    <w:rsid w:val="00DC559A"/>
    <w:rsid w:val="00E2215E"/>
    <w:rsid w:val="00E52153"/>
    <w:rsid w:val="00E6266F"/>
    <w:rsid w:val="00E940EB"/>
    <w:rsid w:val="00E96644"/>
    <w:rsid w:val="00E974FA"/>
    <w:rsid w:val="00E97CDC"/>
    <w:rsid w:val="00F251C2"/>
    <w:rsid w:val="00F74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B29443-AC16-4776-9459-1834925C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87"/>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A30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72"/>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F251C2"/>
    <w:pPr>
      <w:tabs>
        <w:tab w:val="left" w:pos="660"/>
        <w:tab w:val="right" w:leader="dot" w:pos="8828"/>
      </w:tabs>
      <w:spacing w:after="100"/>
      <w:ind w:left="426" w:hanging="426"/>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D3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D31E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semiHidden/>
    <w:rsid w:val="00AA30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29EA3-E63D-4CE1-855C-B406FD94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2429</Words>
  <Characters>13365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2018-03-14T02:04:00Z</cp:lastPrinted>
  <dcterms:created xsi:type="dcterms:W3CDTF">2018-03-14T02:03:00Z</dcterms:created>
  <dcterms:modified xsi:type="dcterms:W3CDTF">2019-03-29T17:02:00Z</dcterms:modified>
</cp:coreProperties>
</file>